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6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9000000">
      <w:pPr>
        <w:rPr>
          <w:spacing w:val="-4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08.04.</w:t>
      </w:r>
      <w:r>
        <w:rPr>
          <w:spacing w:val="-4"/>
          <w:sz w:val="28"/>
        </w:rPr>
        <w:t>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3214</w:t>
      </w:r>
      <w:r>
        <w:rPr>
          <w:spacing w:val="-4"/>
          <w:sz w:val="28"/>
        </w:rPr>
        <w:t>-П</w:t>
      </w:r>
    </w:p>
    <w:p w14:paraId="0B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от 13.03.2012 № 3090-П, в границах улиц </w:t>
      </w:r>
      <w:r>
        <w:rPr>
          <w:rFonts w:ascii="Times New Roman" w:hAnsi="Times New Roman"/>
          <w:sz w:val="28"/>
          <w:highlight w:val="white"/>
        </w:rPr>
        <w:t>Габдуллы</w:t>
      </w:r>
      <w:r>
        <w:rPr>
          <w:rFonts w:ascii="Times New Roman" w:hAnsi="Times New Roman"/>
          <w:sz w:val="28"/>
          <w:highlight w:val="white"/>
        </w:rPr>
        <w:t xml:space="preserve"> Тукая, Мирная</w:t>
      </w:r>
    </w:p>
    <w:p w14:paraId="0C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12.03.2025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ГМУ-УАиГ-03/14 (ЕПГУ: 5271530390),</w:t>
      </w: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 xml:space="preserve">документацию </w:t>
      </w:r>
      <w:r>
        <w:rPr>
          <w:sz w:val="28"/>
          <w:highlight w:val="white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</w:t>
      </w:r>
      <w:r>
        <w:rPr>
          <w:sz w:val="28"/>
          <w:highlight w:val="white"/>
        </w:rPr>
        <w:t>Габдуллы</w:t>
      </w:r>
      <w:r>
        <w:rPr>
          <w:sz w:val="28"/>
          <w:highlight w:val="white"/>
        </w:rPr>
        <w:t xml:space="preserve"> Тукая, Мирная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3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</w:t>
      </w:r>
      <w:r>
        <w:br/>
      </w:r>
      <w:r>
        <w:rPr>
          <w:sz w:val="28"/>
        </w:rPr>
        <w:t>приложению №</w:t>
      </w:r>
      <w:r>
        <w:rPr>
          <w:sz w:val="28"/>
        </w:rPr>
        <w:t>3 к настоящему постановлению.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5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6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8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9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  </w:t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 Бердников</w:t>
      </w: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Вр-2078405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2025-04-08T09:00:52Z</dcterms:modified>
</cp:coreProperties>
</file>