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44102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413 081,85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1 361 809,09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413 082,73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1 361 912,76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412 658,32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1 361 920,07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412 655,66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1 361 816,40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35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b w:val="1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Данный чертеж является приложением №1</w:t>
            </w:r>
          </w:p>
          <w:p w14:paraId="2E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 постановлению администрации города Магнитогорска</w:t>
            </w:r>
            <w:r>
              <w:rPr>
                <w:rFonts w:ascii="Arial" w:hAnsi="Arial"/>
                <w:b w:val="1"/>
                <w:sz w:val="20"/>
              </w:rPr>
              <w:br/>
            </w:r>
          </w:p>
          <w:p w14:paraId="2F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31.03.2025 № 2939-П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Администрация города Магнитогорска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>ач.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  <w:bookmarkStart w:id="1" w:name="_GoBack"/>
            <w:bookmarkEnd w:id="1"/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</w:t>
            </w:r>
            <w:r>
              <w:rPr>
                <w:rFonts w:ascii="Arial" w:hAnsi="Arial"/>
                <w:sz w:val="16"/>
              </w:rPr>
              <w:t>роект</w:t>
            </w:r>
            <w:r>
              <w:rPr>
                <w:rFonts w:ascii="Arial" w:hAnsi="Arial"/>
                <w:sz w:val="16"/>
              </w:rPr>
              <w:t xml:space="preserve"> межевания территории города Магнитогорска в границах улиц Советская, Ушакова, Достоевского, Комсомольская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2"/>
    <w:link w:val="Style_8_ch"/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5" w:type="paragraph">
    <w:name w:val="Hyperlink"/>
    <w:basedOn w:val="Style_14"/>
    <w:link w:val="Style_15_ch"/>
    <w:rPr>
      <w:color w:val="0000FF"/>
      <w:u w:val="single"/>
    </w:rPr>
  </w:style>
  <w:style w:styleId="Style_15_ch" w:type="character">
    <w:name w:val="Hyperlink"/>
    <w:basedOn w:val="Style_14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2025-04-01T05:00:47Z</dcterms:modified>
</cp:coreProperties>
</file>