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1"/>
        <w:spacing w:before="64" w:line="298" w:lineRule="exact"/>
        <w:ind w:firstLine="0" w:left="4" w:right="2"/>
        <w:jc w:val="center"/>
        <w:rPr>
          <w:sz w:val="28"/>
        </w:rPr>
      </w:pPr>
      <w:r>
        <w:rPr>
          <w:spacing w:val="-2"/>
          <w:sz w:val="28"/>
        </w:rPr>
        <w:t>ЗАДАНИЕ</w:t>
      </w:r>
    </w:p>
    <w:p w14:paraId="0B000000">
      <w:pPr>
        <w:ind/>
        <w:jc w:val="center"/>
        <w:rPr>
          <w:sz w:val="26"/>
        </w:rPr>
      </w:pPr>
      <w:r>
        <w:rPr>
          <w:sz w:val="26"/>
        </w:rPr>
        <w:t>на</w:t>
      </w:r>
      <w:r>
        <w:rPr>
          <w:spacing w:val="-6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-6"/>
          <w:sz w:val="26"/>
        </w:rPr>
        <w:t xml:space="preserve"> </w:t>
      </w:r>
      <w:r>
        <w:rPr>
          <w:sz w:val="26"/>
        </w:rPr>
        <w:t>инженерных</w:t>
      </w:r>
      <w:r>
        <w:rPr>
          <w:spacing w:val="-6"/>
          <w:sz w:val="26"/>
        </w:rPr>
        <w:t xml:space="preserve"> </w:t>
      </w:r>
      <w:r>
        <w:rPr>
          <w:sz w:val="26"/>
        </w:rPr>
        <w:t>изысканий,</w:t>
      </w:r>
      <w:r>
        <w:rPr>
          <w:spacing w:val="-6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6"/>
          <w:sz w:val="26"/>
        </w:rPr>
        <w:t xml:space="preserve"> </w:t>
      </w:r>
      <w:r>
        <w:rPr>
          <w:sz w:val="26"/>
        </w:rPr>
        <w:t>подготовки</w:t>
      </w:r>
      <w:r>
        <w:rPr>
          <w:spacing w:val="-4"/>
          <w:sz w:val="26"/>
        </w:rPr>
        <w:t xml:space="preserve"> </w:t>
      </w:r>
      <w:r>
        <w:rPr>
          <w:sz w:val="26"/>
        </w:rPr>
        <w:t>документации по планировке</w:t>
      </w:r>
      <w:r>
        <w:rPr>
          <w:sz w:val="26"/>
        </w:rPr>
        <w:t xml:space="preserve"> и межевания</w:t>
      </w:r>
      <w:r>
        <w:rPr>
          <w:sz w:val="26"/>
        </w:rPr>
        <w:t xml:space="preserve"> территории город Магнитогорск </w:t>
      </w:r>
      <w:r>
        <w:rPr>
          <w:sz w:val="26"/>
        </w:rPr>
        <w:t xml:space="preserve">в районе </w:t>
      </w:r>
      <w:r>
        <w:rPr>
          <w:sz w:val="26"/>
        </w:rPr>
        <w:t>земельных участков с кадастровыми номерами 74:33:0304001:286, 74:33:0304001:631 по ул.</w:t>
      </w:r>
      <w:r>
        <w:rPr>
          <w:sz w:val="26"/>
        </w:rPr>
        <w:t xml:space="preserve"> </w:t>
      </w:r>
      <w:r>
        <w:rPr>
          <w:sz w:val="26"/>
        </w:rPr>
        <w:t>Труда</w:t>
      </w:r>
    </w:p>
    <w:p w14:paraId="0C000000">
      <w:pPr>
        <w:pStyle w:val="Style_1"/>
        <w:tabs>
          <w:tab w:leader="none" w:pos="10115" w:val="left"/>
        </w:tabs>
        <w:ind w:firstLine="0" w:left="28"/>
        <w:jc w:val="center"/>
      </w:pPr>
      <w:r>
        <w:t>(далее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p w14:paraId="0D000000">
      <w:pPr>
        <w:pStyle w:val="Style_1"/>
        <w:ind/>
        <w:jc w:val="both"/>
        <w:rPr>
          <w:sz w:val="19"/>
        </w:rPr>
      </w:pPr>
    </w:p>
    <w:tbl>
      <w:tblPr>
        <w:tblStyle w:val="Style_3"/>
        <w:tblW w:type="auto" w:w="0"/>
        <w:tblInd w:type="dxa" w:w="4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3492"/>
        <w:gridCol w:w="5792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type="dxa" w:w="3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</w:p>
        </w:tc>
        <w:tc>
          <w:tcPr>
            <w:tcW w:type="dxa" w:w="5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type="dxa" w:w="3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Сведения </w:t>
            </w:r>
            <w:r>
              <w:rPr>
                <w:spacing w:val="-6"/>
                <w:sz w:val="26"/>
              </w:rPr>
              <w:t xml:space="preserve">об </w:t>
            </w:r>
            <w:r>
              <w:rPr>
                <w:spacing w:val="-2"/>
                <w:sz w:val="26"/>
              </w:rPr>
              <w:t xml:space="preserve">объекте </w:t>
            </w:r>
            <w:r>
              <w:rPr>
                <w:sz w:val="26"/>
              </w:rPr>
              <w:t>инженерных изысканий</w:t>
            </w:r>
          </w:p>
        </w:tc>
        <w:tc>
          <w:tcPr>
            <w:tcW w:type="dxa" w:w="5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территория города Магнитогорска в районе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земельных участков с кадастровыми номерами 74:33:0304001:286, 74:33:0304001:631 по ул.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Труда</w:t>
            </w:r>
          </w:p>
        </w:tc>
      </w:tr>
      <w:tr>
        <w:trPr>
          <w:trHeight w:hRule="atLeast" w:val="98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2</w:t>
            </w:r>
          </w:p>
        </w:tc>
        <w:tc>
          <w:tcPr>
            <w:tcW w:type="dxa" w:w="3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6"/>
              </w:rPr>
              <w:t>изысканий</w:t>
            </w:r>
          </w:p>
          <w:p w14:paraId="16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</w:p>
        </w:tc>
        <w:tc>
          <w:tcPr>
            <w:tcW w:type="dxa" w:w="5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9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территории,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перечня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видов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Правительства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z w:val="26"/>
              </w:rPr>
              <w:t xml:space="preserve"> 19.01.2006</w:t>
            </w:r>
          </w:p>
          <w:p w14:paraId="1A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z w:val="26"/>
              </w:rPr>
              <w:t xml:space="preserve"> 20»;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22.04.2017 №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z w:val="26"/>
              </w:rPr>
              <w:t xml:space="preserve">информационных системах обеспечения </w:t>
            </w:r>
            <w:r>
              <w:rPr>
                <w:sz w:val="26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C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47.13330.2016 «Свод правил. Инженерные изыскания для строительства. Основные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z w:val="26"/>
              </w:rPr>
              <w:t xml:space="preserve"> 30.12.2016</w:t>
            </w:r>
          </w:p>
          <w:p w14:paraId="1D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z w:val="26"/>
              </w:rPr>
              <w:t xml:space="preserve"> 1033/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1E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438.1325800.2019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«Свод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правил.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Инженерные изыскания при планировке территорий. Общие </w:t>
            </w:r>
            <w:r>
              <w:rPr>
                <w:sz w:val="26"/>
              </w:rPr>
              <w:t xml:space="preserve">требования», утвержденный приказом </w:t>
            </w:r>
            <w:r>
              <w:rPr>
                <w:sz w:val="26"/>
              </w:rPr>
              <w:t>Министерства строительства и жилищно- коммунального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от 25.02.2019 № 127/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1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11-102-97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«Система</w:t>
            </w:r>
            <w:r>
              <w:rPr>
                <w:sz w:val="26"/>
              </w:rPr>
              <w:t xml:space="preserve">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>одобренный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>одобренный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3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администрации города Магнитогорска Челябинской области от 10.06.2013</w:t>
            </w:r>
          </w:p>
          <w:p w14:paraId="24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5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11). Приказ Главного управления геодезии и картографии при Совете Министров СССР от 25 </w:t>
            </w:r>
            <w:r>
              <w:rPr>
                <w:sz w:val="26"/>
              </w:rPr>
              <w:t>ноября 1986 года N 584п "Об утверждении "Условных знаков для топографических планов</w:t>
            </w:r>
          </w:p>
          <w:p w14:paraId="26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3</w:t>
            </w:r>
          </w:p>
        </w:tc>
        <w:tc>
          <w:tcPr>
            <w:tcW w:type="dxa" w:w="3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 xml:space="preserve">Границы территории </w:t>
            </w:r>
            <w:r>
              <w:rPr>
                <w:sz w:val="26"/>
              </w:rPr>
              <w:t xml:space="preserve">проведения инженерных </w:t>
            </w:r>
            <w:r>
              <w:rPr>
                <w:spacing w:val="-2"/>
                <w:sz w:val="26"/>
              </w:rPr>
              <w:t>изысканий</w:t>
            </w:r>
          </w:p>
        </w:tc>
        <w:tc>
          <w:tcPr>
            <w:tcW w:type="dxa" w:w="5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Ориентировочная площадь проектирования </w:t>
            </w:r>
            <w:r>
              <w:rPr>
                <w:sz w:val="26"/>
              </w:rPr>
              <w:t>1</w:t>
            </w:r>
            <w:r>
              <w:rPr>
                <w:sz w:val="26"/>
              </w:rPr>
              <w:t>,</w:t>
            </w:r>
            <w:r>
              <w:rPr>
                <w:sz w:val="26"/>
              </w:rPr>
              <w:t>1</w:t>
            </w:r>
            <w:r>
              <w:rPr>
                <w:sz w:val="26"/>
              </w:rPr>
              <w:t xml:space="preserve"> га, территория города Магнитогорска </w:t>
            </w:r>
            <w:r>
              <w:rPr>
                <w:sz w:val="26"/>
              </w:rPr>
              <w:t xml:space="preserve">в районе </w:t>
            </w:r>
            <w:r>
              <w:rPr>
                <w:sz w:val="26"/>
              </w:rPr>
              <w:t>ул.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Труда 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3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Виды инженерных изысканий*</w:t>
            </w:r>
          </w:p>
        </w:tc>
        <w:tc>
          <w:tcPr>
            <w:tcW w:type="dxa" w:w="5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инженерно-геодезические изыскания;</w:t>
            </w:r>
          </w:p>
          <w:p w14:paraId="2D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инженерно-геологические изыскания;</w:t>
            </w:r>
          </w:p>
          <w:p w14:paraId="2E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инженерно-гидрометеорологические изыскания.</w:t>
            </w:r>
          </w:p>
          <w:p w14:paraId="2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5</w:t>
            </w:r>
          </w:p>
        </w:tc>
        <w:tc>
          <w:tcPr>
            <w:tcW w:type="dxa" w:w="3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планируемого к </w:t>
            </w:r>
            <w:r>
              <w:rPr>
                <w:spacing w:val="-2"/>
                <w:sz w:val="26"/>
              </w:rPr>
              <w:t>размещению объекта капитального строительства</w:t>
            </w:r>
          </w:p>
        </w:tc>
        <w:tc>
          <w:tcPr>
            <w:tcW w:type="dxa" w:w="5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1" w:left="0"/>
              <w:rPr>
                <w:sz w:val="26"/>
              </w:rPr>
            </w:pPr>
            <w:r>
              <w:rPr>
                <w:sz w:val="26"/>
              </w:rPr>
              <w:t>Реконструкция существующего объекта капитального строительства с кадастровым номером 74:33:0304001:1431</w:t>
            </w:r>
            <w:r>
              <w:rPr>
                <w:sz w:val="26"/>
              </w:rPr>
              <w:t>;</w:t>
            </w:r>
            <w:bookmarkStart w:id="1" w:name="_GoBack"/>
            <w:bookmarkEnd w:id="1"/>
          </w:p>
          <w:p w14:paraId="34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1" w:left="0"/>
              <w:rPr>
                <w:sz w:val="26"/>
              </w:rPr>
            </w:pPr>
            <w:r>
              <w:rPr>
                <w:sz w:val="26"/>
              </w:rPr>
              <w:t>Определение места допустимого размещения объекта капитального строительства с учётом существующей застройки на земельном участке с кадастровым номером 74:33:0304001:631;</w:t>
            </w:r>
          </w:p>
          <w:p w14:paraId="35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rPr>
                <w:sz w:val="26"/>
              </w:rPr>
            </w:pPr>
            <w:r>
              <w:rPr>
                <w:sz w:val="26"/>
              </w:rPr>
              <w:t>Изменение вида разрешенного использования земельного участка 74:33:0304001:631 (магазины, общественное питание).</w:t>
            </w:r>
          </w:p>
        </w:tc>
      </w:tr>
    </w:tbl>
    <w:p w14:paraId="36000000">
      <w:pPr>
        <w:pStyle w:val="Style_1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7000000">
      <w:pPr>
        <w:pStyle w:val="Style_1"/>
      </w:pPr>
    </w:p>
    <w:p w14:paraId="38000000">
      <w:pPr>
        <w:pStyle w:val="Style_1"/>
        <w:spacing w:before="272"/>
        <w:ind/>
      </w:pPr>
    </w:p>
    <w:p w14:paraId="39000000">
      <w:pPr>
        <w:pStyle w:val="Style_1"/>
        <w:spacing w:before="272"/>
        <w:ind/>
      </w:pPr>
    </w:p>
    <w:p w14:paraId="3A000000">
      <w:pPr>
        <w:pStyle w:val="Style_1"/>
        <w:spacing w:line="291" w:lineRule="exact"/>
        <w:ind w:firstLine="0" w:left="143"/>
      </w:pPr>
      <w:r>
        <w:rPr>
          <w:spacing w:val="-2"/>
        </w:rPr>
        <w:t>Начальник Управления</w:t>
      </w:r>
    </w:p>
    <w:p w14:paraId="3B000000">
      <w:pPr>
        <w:pStyle w:val="Style_1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3C000000">
      <w:pPr>
        <w:pStyle w:val="Style_1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     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1" w:type="default"/>
      <w:headerReference r:id="rId2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rFonts w:ascii="Arial" w:hAnsi="Arial"/>
        <w:sz w:val="20"/>
      </w:rPr>
      <w:t>31.03.2025 № 2936-П</w:t>
    </w:r>
  </w:p>
  <w:p w14:paraId="07000000">
    <w:pPr>
      <w:pStyle w:val="Style_2"/>
      <w:ind/>
      <w:jc w:val="right"/>
      <w:rPr>
        <w:sz w:val="24"/>
      </w:rPr>
    </w:pPr>
  </w:p>
  <w:p w14:paraId="08000000">
    <w:pPr>
      <w:pStyle w:val="Style_2"/>
      <w:ind/>
      <w:jc w:val="right"/>
      <w:rPr>
        <w:sz w:val="24"/>
      </w:rPr>
    </w:pPr>
  </w:p>
  <w:p w14:paraId="09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rPr>
      <w:rFonts w:ascii="Segoe UI" w:hAnsi="Segoe UI"/>
      <w:sz w:val="18"/>
    </w:rPr>
  </w:style>
  <w:style w:styleId="Style_12_ch" w:type="character">
    <w:name w:val="Balloon Text"/>
    <w:basedOn w:val="Style_5_ch"/>
    <w:link w:val="Style_12"/>
    <w:rPr>
      <w:rFonts w:ascii="Segoe UI" w:hAnsi="Segoe UI"/>
      <w:sz w:val="18"/>
    </w:rPr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5_ch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5_ch"/>
    <w:link w:val="Style_2"/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4" w:type="paragraph">
    <w:name w:val="Table Paragraph"/>
    <w:basedOn w:val="Style_5"/>
    <w:link w:val="Style_4_ch"/>
    <w:pPr>
      <w:ind w:firstLine="0" w:left="106"/>
    </w:pPr>
  </w:style>
  <w:style w:styleId="Style_4_ch" w:type="character">
    <w:name w:val="Table Paragraph"/>
    <w:basedOn w:val="Style_5_ch"/>
    <w:link w:val="Style_4"/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1" w:type="paragraph">
    <w:name w:val="Body Text"/>
    <w:basedOn w:val="Style_5"/>
    <w:link w:val="Style_1_ch"/>
    <w:rPr>
      <w:sz w:val="26"/>
    </w:rPr>
  </w:style>
  <w:style w:styleId="Style_1_ch" w:type="character">
    <w:name w:val="Body Text"/>
    <w:basedOn w:val="Style_5_ch"/>
    <w:link w:val="Style_1"/>
    <w:rPr>
      <w:sz w:val="26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List Paragraph"/>
    <w:basedOn w:val="Style_5"/>
    <w:link w:val="Style_29_ch"/>
  </w:style>
  <w:style w:styleId="Style_29_ch" w:type="character">
    <w:name w:val="List Paragraph"/>
    <w:basedOn w:val="Style_5_ch"/>
    <w:link w:val="Style_29"/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2025-04-01T04:54:57Z</dcterms:modified>
</cp:coreProperties>
</file>