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bookmarkStart w:id="1" w:name="_Hlk177817023"/>
      <w:r>
        <w:rPr>
          <w:rFonts w:ascii="Times New Roman" w:hAnsi="Times New Roman"/>
          <w:b w:val="0"/>
          <w:color w:val="000000"/>
          <w:sz w:val="22"/>
        </w:rPr>
        <w:t>Приложение № 1</w:t>
      </w:r>
    </w:p>
    <w:p w14:paraId="06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 xml:space="preserve">к постановлению администрации </w:t>
      </w:r>
    </w:p>
    <w:p w14:paraId="07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города Магнитогорска</w:t>
      </w:r>
    </w:p>
    <w:p w14:paraId="08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от 24.03.2025 № 2728-П</w:t>
      </w:r>
    </w:p>
    <w:p w14:paraId="09000000">
      <w:pPr>
        <w:pStyle w:val="Style_4"/>
        <w:ind w:firstLine="10773" w:left="0"/>
        <w:rPr>
          <w:rFonts w:ascii="Times New Roman" w:hAnsi="Times New Roman"/>
        </w:rPr>
      </w:pPr>
    </w:p>
    <w:p w14:paraId="0A000000">
      <w:pPr>
        <w:pStyle w:val="Style_4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1</w:t>
      </w:r>
    </w:p>
    <w:p w14:paraId="0B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к муниципальной программе</w:t>
      </w:r>
    </w:p>
    <w:p w14:paraId="0C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физической культуры и спорта </w:t>
      </w:r>
    </w:p>
    <w:p w14:paraId="0D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городе Магнитогорске» на 202</w:t>
      </w:r>
      <w:r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- 20</w:t>
      </w:r>
      <w:r>
        <w:rPr>
          <w:rFonts w:ascii="Times New Roman" w:hAnsi="Times New Roman"/>
          <w:sz w:val="22"/>
        </w:rPr>
        <w:t>30</w:t>
      </w:r>
      <w:r>
        <w:rPr>
          <w:rFonts w:ascii="Times New Roman" w:hAnsi="Times New Roman"/>
          <w:sz w:val="22"/>
        </w:rPr>
        <w:t xml:space="preserve"> гг.</w:t>
      </w:r>
    </w:p>
    <w:p w14:paraId="0E000000">
      <w:pPr>
        <w:ind/>
        <w:jc w:val="right"/>
        <w:rPr>
          <w:rFonts w:ascii="Times New Roman" w:hAnsi="Times New Roman"/>
          <w:sz w:val="22"/>
        </w:rPr>
      </w:pPr>
    </w:p>
    <w:p w14:paraId="0F000000">
      <w:pPr>
        <w:ind w:firstLine="10773" w:left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                    </w:t>
      </w:r>
    </w:p>
    <w:p w14:paraId="10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bookmarkStart w:id="2" w:name="_GoBack"/>
      <w:bookmarkEnd w:id="2"/>
      <w:r>
        <w:rPr>
          <w:rFonts w:ascii="Times New Roman" w:hAnsi="Times New Roman"/>
          <w:b w:val="0"/>
          <w:color w:val="000000"/>
          <w:sz w:val="22"/>
        </w:rPr>
        <w:t>Паспорт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 xml:space="preserve">муниципальной программы </w:t>
      </w:r>
    </w:p>
    <w:p w14:paraId="11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«</w:t>
      </w:r>
      <w:r>
        <w:rPr>
          <w:rFonts w:ascii="Times New Roman" w:hAnsi="Times New Roman"/>
          <w:b w:val="0"/>
          <w:color w:val="000000"/>
          <w:sz w:val="22"/>
        </w:rPr>
        <w:t xml:space="preserve">Развитие физической культуры </w:t>
      </w:r>
      <w:r>
        <w:rPr>
          <w:rFonts w:ascii="Times New Roman" w:hAnsi="Times New Roman"/>
          <w:b w:val="0"/>
          <w:color w:val="000000"/>
          <w:sz w:val="22"/>
        </w:rPr>
        <w:t>и спорта в городе Магнитогорске»</w:t>
      </w:r>
      <w:r>
        <w:rPr>
          <w:rFonts w:ascii="Times New Roman" w:hAnsi="Times New Roman"/>
          <w:b w:val="0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>на 202</w:t>
      </w:r>
      <w:r>
        <w:rPr>
          <w:rFonts w:ascii="Times New Roman" w:hAnsi="Times New Roman"/>
          <w:b w:val="0"/>
          <w:color w:val="000000"/>
          <w:sz w:val="22"/>
        </w:rPr>
        <w:t>5 - 2030</w:t>
      </w:r>
      <w:r>
        <w:rPr>
          <w:rFonts w:ascii="Times New Roman" w:hAnsi="Times New Roman"/>
          <w:b w:val="0"/>
          <w:color w:val="000000"/>
          <w:sz w:val="22"/>
        </w:rPr>
        <w:t xml:space="preserve"> гг.</w:t>
      </w:r>
    </w:p>
    <w:p w14:paraId="12000000"/>
    <w:p w14:paraId="13000000">
      <w:pPr>
        <w:pStyle w:val="Style_5"/>
        <w:numPr>
          <w:ilvl w:val="0"/>
          <w:numId w:val="1"/>
        </w:num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4000000"/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7739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4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</w:t>
            </w:r>
          </w:p>
        </w:tc>
      </w:tr>
      <w:tr>
        <w:trPr>
          <w:trHeight w:hRule="atLeast" w:val="606"/>
        </w:trP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1F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условий, обеспечивающих равные возможности населению города вести здоровый образ </w:t>
            </w:r>
            <w:r>
              <w:rPr>
                <w:rFonts w:ascii="Times New Roman" w:hAnsi="Times New Roman"/>
              </w:rPr>
              <w:t>жизни, систематически заниматься физической культурой и спортом</w:t>
            </w:r>
            <w:r>
              <w:rPr>
                <w:rFonts w:ascii="Times New Roman" w:hAnsi="Times New Roman"/>
              </w:rPr>
              <w:t>.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конкурентоспособности магнитогорских спортсменов на всероссийской </w:t>
            </w:r>
            <w:r>
              <w:rPr>
                <w:rFonts w:ascii="Times New Roman" w:hAnsi="Times New Roman"/>
              </w:rPr>
              <w:t xml:space="preserve">и международных </w:t>
            </w:r>
            <w:r>
              <w:rPr>
                <w:rFonts w:ascii="Times New Roman" w:hAnsi="Times New Roman"/>
              </w:rPr>
              <w:t>аренах.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обеспеченности населения города объектами спорта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7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адачи: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  <w:r>
              <w:rPr>
                <w:rFonts w:ascii="Times New Roman" w:hAnsi="Times New Roman"/>
              </w:rPr>
              <w:t>;</w:t>
            </w:r>
          </w:p>
          <w:p w14:paraId="2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  <w:r>
              <w:rPr>
                <w:rFonts w:ascii="Times New Roman" w:hAnsi="Times New Roman"/>
              </w:rPr>
              <w:t>;</w:t>
            </w:r>
          </w:p>
          <w:p w14:paraId="2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  <w:r>
              <w:rPr>
                <w:rFonts w:ascii="Times New Roman" w:hAnsi="Times New Roman"/>
              </w:rPr>
              <w:t>;</w:t>
            </w:r>
          </w:p>
          <w:p w14:paraId="2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  <w:r>
              <w:rPr>
                <w:rFonts w:ascii="Times New Roman" w:hAnsi="Times New Roman"/>
              </w:rPr>
              <w:t>;</w:t>
            </w:r>
          </w:p>
          <w:p w14:paraId="27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7"/>
              <w:ind w:firstLine="0"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Направление 1</w:t>
            </w:r>
            <w:r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 xml:space="preserve"> «</w:t>
            </w:r>
            <w:r>
              <w:rPr>
                <w:rFonts w:ascii="Times New Roman" w:hAnsi="Times New Roman"/>
                <w:sz w:val="22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3 071 760,</w:t>
            </w:r>
            <w:r>
              <w:rPr>
                <w:rFonts w:ascii="Times New Roman" w:hAnsi="Times New Roman"/>
                <w:color w:val="000000"/>
              </w:rPr>
              <w:t>39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муниципальной программы направлена на достижение национальной цели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Сохранение населения, здоровье и благополучие людей» (Государственная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"https://login.consultant.ru/link/?req=doc&amp;base=LAW&amp;n=482988&amp;dst=100011" \o "Постановление Правительства РФ от 30.09.2021 N 1661 (ред. от 09.08.2024)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программа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Российской Федерации «Развитие физической культуры и спорта»)</w:t>
            </w:r>
          </w:p>
        </w:tc>
      </w:tr>
    </w:tbl>
    <w:p w14:paraId="2E000000">
      <w:pPr>
        <w:rPr>
          <w:rFonts w:ascii="Times New Roman" w:hAnsi="Times New Roman"/>
          <w:sz w:val="22"/>
        </w:rPr>
      </w:pPr>
    </w:p>
    <w:p w14:paraId="2F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30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4116"/>
        <w:gridCol w:w="1231"/>
        <w:gridCol w:w="2830"/>
        <w:gridCol w:w="564"/>
        <w:gridCol w:w="564"/>
        <w:gridCol w:w="564"/>
        <w:gridCol w:w="564"/>
        <w:gridCol w:w="564"/>
        <w:gridCol w:w="564"/>
        <w:gridCol w:w="2492"/>
      </w:tblGrid>
      <w:tr>
        <w:tc>
          <w:tcPr>
            <w:tcW w:type="dxa" w:w="4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Наименование показателя</w:t>
            </w:r>
          </w:p>
        </w:tc>
        <w:tc>
          <w:tcPr>
            <w:tcW w:type="dxa" w:w="12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28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Значение показателя по годам</w:t>
            </w:r>
          </w:p>
        </w:tc>
        <w:tc>
          <w:tcPr>
            <w:tcW w:type="dxa" w:w="24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Ответственный за достижение показателя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2030</w:t>
            </w:r>
          </w:p>
        </w:tc>
        <w:tc>
          <w:tcPr>
            <w:tcW w:type="dxa" w:w="24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1. «</w:t>
            </w:r>
            <w:r>
              <w:rPr>
                <w:rFonts w:ascii="Times New Roman" w:hAnsi="Times New Roman"/>
                <w:sz w:val="22"/>
              </w:rPr>
              <w:t>Создание условий, обеспечивающих равные возможности населению города вести здоровый образ жизни, систематически заниматься физической культурой и спортом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граждан</w:t>
            </w:r>
            <w:r>
              <w:rPr>
                <w:rFonts w:ascii="Times New Roman" w:hAnsi="Times New Roman"/>
                <w:sz w:val="22"/>
              </w:rPr>
              <w:t xml:space="preserve"> в возрасте 3-79 лет</w:t>
            </w:r>
            <w:r>
              <w:rPr>
                <w:rFonts w:ascii="Times New Roman" w:hAnsi="Times New Roman"/>
                <w:sz w:val="22"/>
              </w:rPr>
              <w:t xml:space="preserve">, систематически занимающихся </w:t>
            </w:r>
            <w:r>
              <w:rPr>
                <w:rFonts w:ascii="Times New Roman" w:hAnsi="Times New Roman"/>
                <w:sz w:val="22"/>
              </w:rPr>
              <w:t>физической культурой и спортом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55,2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62,0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64,0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70,0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Управление </w:t>
            </w:r>
            <w:r>
              <w:rPr>
                <w:rFonts w:ascii="Times New Roman" w:hAnsi="Times New Roman"/>
                <w:sz w:val="22"/>
              </w:rPr>
              <w:t xml:space="preserve">по физической культуре и </w:t>
            </w:r>
            <w:r>
              <w:rPr>
                <w:rFonts w:ascii="Times New Roman" w:hAnsi="Times New Roman"/>
                <w:sz w:val="22"/>
              </w:rPr>
              <w:t>спорту</w:t>
            </w:r>
            <w:r>
              <w:rPr>
                <w:rFonts w:ascii="Times New Roman" w:hAnsi="Times New Roman"/>
                <w:sz w:val="22"/>
              </w:rPr>
              <w:t xml:space="preserve"> администрации 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2. «Повышение конкурентоспособности магнитогорских спортсменов на всероссийской</w:t>
            </w:r>
            <w:r>
              <w:rPr>
                <w:rFonts w:ascii="Times New Roman" w:hAnsi="Times New Roman"/>
                <w:sz w:val="22"/>
              </w:rPr>
              <w:t xml:space="preserve"> и международных</w:t>
            </w:r>
            <w:r>
              <w:rPr>
                <w:rFonts w:ascii="Times New Roman" w:hAnsi="Times New Roman"/>
                <w:sz w:val="22"/>
              </w:rPr>
              <w:t xml:space="preserve"> аренах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13,0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15,0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3. «Повышение уровня обеспеченности населения города объектами спорта»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47,15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50,0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6F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. План достижения показателей</w:t>
      </w:r>
    </w:p>
    <w:p w14:paraId="70000000">
      <w:pPr>
        <w:pStyle w:val="Style_4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71000000">
      <w:pPr>
        <w:pStyle w:val="Style_4"/>
        <w:ind/>
        <w:jc w:val="center"/>
        <w:rPr>
          <w:rFonts w:ascii="Times New Roman" w:hAnsi="Times New Roman"/>
        </w:rPr>
      </w:pP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</w:tr>
    </w:tbl>
    <w:p w14:paraId="C0000000">
      <w:pPr>
        <w:rPr>
          <w:rFonts w:ascii="Times New Roman" w:hAnsi="Times New Roman"/>
          <w:sz w:val="22"/>
        </w:rPr>
      </w:pPr>
    </w:p>
    <w:p w14:paraId="C1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C2000000">
      <w:pPr>
        <w:pStyle w:val="Style_4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69"/>
        <w:gridCol w:w="7216"/>
        <w:gridCol w:w="3857"/>
        <w:gridCol w:w="2986"/>
      </w:tblGrid>
      <w:tr>
        <w:trPr>
          <w:tblHeader/>
        </w:trP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«</w:t>
            </w:r>
            <w:r>
              <w:rPr>
                <w:rFonts w:ascii="Times New Roman" w:hAnsi="Times New Roman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Комплекс процессных мероприятий «</w:t>
            </w:r>
            <w:r>
              <w:rPr>
                <w:rFonts w:ascii="Times New Roman" w:hAnsi="Times New Roman"/>
              </w:rPr>
              <w:t>Организация физкультурно-массовой работы с населением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Увеличение </w:t>
            </w:r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граждан</w:t>
            </w:r>
            <w:r>
              <w:rPr>
                <w:rFonts w:ascii="Times New Roman" w:hAnsi="Times New Roman"/>
              </w:rPr>
              <w:t xml:space="preserve">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</w:t>
            </w:r>
            <w:r>
              <w:rPr>
                <w:rFonts w:ascii="Times New Roman" w:hAnsi="Times New Roman"/>
              </w:rPr>
              <w:t>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доли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</w:t>
            </w:r>
            <w:r>
              <w:rPr>
                <w:rFonts w:ascii="Times New Roman" w:hAnsi="Times New Roman"/>
              </w:rPr>
              <w:t xml:space="preserve"> в возрасте 3-79 лет</w:t>
            </w:r>
            <w:r>
              <w:rPr>
                <w:rFonts w:ascii="Times New Roman" w:hAnsi="Times New Roman"/>
              </w:rPr>
              <w:t>, систематически занимающихся физической культурой и спортом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Комплекс процессных мероприятий «Реализация дополнительных образовательных программ спортивной подготовки»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Создание условий, необходимых для физического воспитания и физического развития обучающихся, совершенствования их спортивного мастерства</w:t>
            </w:r>
            <w:r>
              <w:rPr>
                <w:rFonts w:ascii="Times New Roman" w:hAnsi="Times New Roman"/>
              </w:rPr>
              <w:t xml:space="preserve"> для у</w:t>
            </w:r>
            <w:r>
              <w:rPr>
                <w:rFonts w:ascii="Times New Roman" w:hAnsi="Times New Roman"/>
              </w:rPr>
              <w:t>частия в спортивных мероприятиях и соревнованиях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</w:t>
            </w:r>
            <w:r>
              <w:rPr>
                <w:rFonts w:ascii="Times New Roman" w:hAnsi="Times New Roman"/>
                <w:sz w:val="22"/>
              </w:rPr>
              <w:t>них магнитогорских спортсменов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Содействие гармоничному развитию, всесторонней физической подготовленности и укреплению здоровья обучающихся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обучающихся, принявших участие в спортивных мероприятиях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Комплекс процессных мероприятий «Сопровождение деятельности учреждений»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ind w:firstLine="31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 xml:space="preserve">оздание условий для </w:t>
            </w:r>
            <w:r>
              <w:rPr>
                <w:rFonts w:ascii="Times New Roman" w:hAnsi="Times New Roman"/>
              </w:rPr>
              <w:t>развития физической культуры и спорта города Магнитогорска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 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оздание условий для эффективного функционирования Управления по физической культуре и спорту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обеспеченности населения спортивными сооружениями исходя из </w:t>
            </w:r>
            <w:r>
              <w:rPr>
                <w:rFonts w:ascii="Times New Roman" w:hAnsi="Times New Roman"/>
              </w:rPr>
              <w:t>единовременной пропускной способности объектов спорта</w:t>
            </w:r>
          </w:p>
        </w:tc>
      </w:tr>
    </w:tbl>
    <w:p w14:paraId="F3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p w14:paraId="F4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муниципальной программы</w:t>
      </w:r>
    </w:p>
    <w:p w14:paraId="F5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8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240"/>
        <w:gridCol w:w="1342"/>
        <w:gridCol w:w="1345"/>
        <w:gridCol w:w="1351"/>
        <w:gridCol w:w="1348"/>
        <w:gridCol w:w="1298"/>
        <w:gridCol w:w="1295"/>
        <w:gridCol w:w="1661"/>
      </w:tblGrid>
      <w:tr>
        <w:tc>
          <w:tcPr>
            <w:tcW w:type="dxa" w:w="5240"/>
            <w:vMerge w:val="restart"/>
          </w:tcPr>
          <w:p w14:paraId="F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640"/>
            <w:gridSpan w:val="7"/>
          </w:tcPr>
          <w:p w14:paraId="F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0"/>
            <w:gridSpan w:val="1"/>
            <w:vMerge w:val="continue"/>
          </w:tcPr>
          <w:p/>
        </w:tc>
        <w:tc>
          <w:tcPr>
            <w:tcW w:type="dxa" w:w="1342"/>
            <w:vAlign w:val="center"/>
          </w:tcPr>
          <w:p w14:paraId="F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45"/>
            <w:vAlign w:val="center"/>
          </w:tcPr>
          <w:p w14:paraId="F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51"/>
            <w:vAlign w:val="center"/>
          </w:tcPr>
          <w:p w14:paraId="F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48"/>
            <w:vAlign w:val="center"/>
          </w:tcPr>
          <w:p w14:paraId="F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98"/>
          </w:tcPr>
          <w:p w14:paraId="F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95"/>
          </w:tcPr>
          <w:p w14:paraId="F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61"/>
          </w:tcPr>
          <w:p w14:paraId="F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0"/>
            <w:vAlign w:val="center"/>
          </w:tcPr>
          <w:p w14:paraId="F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42"/>
            <w:vAlign w:val="center"/>
          </w:tcPr>
          <w:p w14:paraId="0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45"/>
            <w:vAlign w:val="center"/>
          </w:tcPr>
          <w:p w14:paraId="0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51"/>
            <w:vAlign w:val="center"/>
          </w:tcPr>
          <w:p w14:paraId="0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48"/>
            <w:vAlign w:val="center"/>
          </w:tcPr>
          <w:p w14:paraId="0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98"/>
          </w:tcPr>
          <w:p w14:paraId="0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95"/>
          </w:tcPr>
          <w:p w14:paraId="0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61"/>
          </w:tcPr>
          <w:p w14:paraId="0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0"/>
          </w:tcPr>
          <w:p w14:paraId="07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554 434,6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29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2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6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3 071 760,39  </w:t>
            </w:r>
          </w:p>
        </w:tc>
      </w:tr>
      <w:tr>
        <w:tc>
          <w:tcPr>
            <w:tcW w:type="dxa" w:w="5240"/>
          </w:tcPr>
          <w:p w14:paraId="0F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17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</w:tr>
      <w:tr>
        <w:tc>
          <w:tcPr>
            <w:tcW w:type="dxa" w:w="5240"/>
          </w:tcPr>
          <w:p w14:paraId="1F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537 994,04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462 631,40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483 255,78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2 973 333,96  </w:t>
            </w:r>
          </w:p>
        </w:tc>
      </w:tr>
      <w:tr>
        <w:tc>
          <w:tcPr>
            <w:tcW w:type="dxa" w:w="5240"/>
            <w:tcBorders>
              <w:right w:color="000000" w:sz="4" w:val="single"/>
            </w:tcBorders>
          </w:tcPr>
          <w:p w14:paraId="27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2F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</w:p>
        </w:tc>
        <w:tc>
          <w:tcPr>
            <w:tcW w:type="dxa" w:w="1342"/>
            <w:tcBorders>
              <w:top w:color="000000" w:sz="4" w:val="single"/>
            </w:tcBorders>
          </w:tcPr>
          <w:p w14:paraId="3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5"/>
            <w:tcBorders>
              <w:top w:color="000000" w:sz="4" w:val="single"/>
            </w:tcBorders>
          </w:tcPr>
          <w:p w14:paraId="3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51"/>
            <w:tcBorders>
              <w:top w:color="000000" w:sz="4" w:val="single"/>
            </w:tcBorders>
          </w:tcPr>
          <w:p w14:paraId="3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8"/>
            <w:tcBorders>
              <w:top w:color="000000" w:sz="4" w:val="single"/>
            </w:tcBorders>
          </w:tcPr>
          <w:p w14:paraId="3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8"/>
            <w:tcBorders>
              <w:top w:color="000000" w:sz="4" w:val="single"/>
            </w:tcBorders>
          </w:tcPr>
          <w:p w14:paraId="3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5"/>
            <w:tcBorders>
              <w:top w:color="000000" w:sz="4" w:val="single"/>
            </w:tcBorders>
          </w:tcPr>
          <w:p w14:paraId="3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61"/>
            <w:tcBorders>
              <w:top w:color="000000" w:sz="4" w:val="single"/>
            </w:tcBorders>
          </w:tcPr>
          <w:p w14:paraId="3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37010000">
      <w:pPr>
        <w:ind w:firstLine="0" w:left="0"/>
        <w:rPr>
          <w:rFonts w:ascii="Times New Roman" w:hAnsi="Times New Roman"/>
          <w:sz w:val="22"/>
        </w:rPr>
      </w:pPr>
      <w:bookmarkStart w:id="3" w:name="P1378"/>
      <w:bookmarkEnd w:id="3"/>
      <w:bookmarkStart w:id="4" w:name="P1379"/>
      <w:bookmarkEnd w:id="4"/>
      <w:bookmarkStart w:id="5" w:name="P1380"/>
      <w:bookmarkEnd w:id="5"/>
      <w:bookmarkEnd w:id="1"/>
    </w:p>
    <w:p w14:paraId="38010000">
      <w:pPr>
        <w:ind w:firstLine="0" w:left="0"/>
        <w:rPr>
          <w:rFonts w:ascii="Times New Roman" w:hAnsi="Times New Roman"/>
          <w:sz w:val="22"/>
        </w:rPr>
      </w:pPr>
    </w:p>
    <w:sectPr>
      <w:headerReference r:id="rId1" w:type="default"/>
      <w:footerReference r:id="rId2" w:type="first"/>
      <w:pgSz w:h="11905" w:orient="landscape" w:w="16837"/>
      <w:pgMar w:bottom="851" w:footer="720" w:gutter="0" w:header="720" w:left="1100" w:right="799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</w:pPr>
  </w:p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">
    <w:lvl w:ilvl="0">
      <w:start w:val="1"/>
      <w:numFmt w:val="decimal"/>
      <w:lvlText w:val="%1."/>
      <w:lvlJc w:val="left"/>
      <w:pPr>
        <w:ind w:hanging="690" w:left="105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Arial" w:hAnsi="Arial"/>
      <w:sz w:val="24"/>
    </w:rPr>
  </w:style>
  <w:style w:default="1" w:styleId="Style_9_ch" w:type="character">
    <w:name w:val="Normal"/>
    <w:link w:val="Style_9"/>
    <w:rPr>
      <w:rFonts w:ascii="Arial" w:hAnsi="Arial"/>
      <w:sz w:val="24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Текст (справка)"/>
    <w:basedOn w:val="Style_9"/>
    <w:next w:val="Style_9"/>
    <w:link w:val="Style_12_ch"/>
    <w:pPr>
      <w:ind w:firstLine="0" w:left="170" w:right="170"/>
      <w:jc w:val="left"/>
    </w:pPr>
  </w:style>
  <w:style w:styleId="Style_12_ch" w:type="character">
    <w:name w:val="Текст (справка)"/>
    <w:basedOn w:val="Style_9_ch"/>
    <w:link w:val="Style_12"/>
  </w:style>
  <w:style w:styleId="Style_13" w:type="paragraph">
    <w:name w:val="toc 6"/>
    <w:next w:val="Style_9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9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annotation subject"/>
    <w:basedOn w:val="Style_16"/>
    <w:next w:val="Style_16"/>
    <w:link w:val="Style_15_ch"/>
    <w:rPr>
      <w:b w:val="1"/>
    </w:rPr>
  </w:style>
  <w:style w:styleId="Style_15_ch" w:type="character">
    <w:name w:val="annotation subject"/>
    <w:basedOn w:val="Style_16_ch"/>
    <w:link w:val="Style_15"/>
    <w:rPr>
      <w:b w:val="1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next w:val="Style_9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Таблицы (моноширинный)"/>
    <w:basedOn w:val="Style_9"/>
    <w:next w:val="Style_9"/>
    <w:link w:val="Style_19_ch"/>
    <w:pPr>
      <w:ind w:firstLine="0" w:left="0"/>
      <w:jc w:val="left"/>
    </w:pPr>
    <w:rPr>
      <w:rFonts w:ascii="Courier New" w:hAnsi="Courier New"/>
    </w:rPr>
  </w:style>
  <w:style w:styleId="Style_19_ch" w:type="character">
    <w:name w:val="Таблицы (моноширинный)"/>
    <w:basedOn w:val="Style_9_ch"/>
    <w:link w:val="Style_19"/>
    <w:rPr>
      <w:rFonts w:ascii="Courier New" w:hAnsi="Courier New"/>
    </w:rPr>
  </w:style>
  <w:style w:styleId="Style_20" w:type="paragraph">
    <w:name w:val="Информация об изменениях документа"/>
    <w:basedOn w:val="Style_21"/>
    <w:next w:val="Style_9"/>
    <w:link w:val="Style_20_ch"/>
    <w:rPr>
      <w:i w:val="1"/>
    </w:rPr>
  </w:style>
  <w:style w:styleId="Style_20_ch" w:type="character">
    <w:name w:val="Информация об изменениях документа"/>
    <w:basedOn w:val="Style_21_ch"/>
    <w:link w:val="Style_20"/>
    <w:rPr>
      <w:i w:val="1"/>
    </w:rPr>
  </w:style>
  <w:style w:styleId="Style_22" w:type="paragraph">
    <w:name w:val="Текст информации об изменениях"/>
    <w:basedOn w:val="Style_9"/>
    <w:next w:val="Style_9"/>
    <w:link w:val="Style_22_ch"/>
    <w:rPr>
      <w:color w:val="353842"/>
      <w:sz w:val="18"/>
    </w:rPr>
  </w:style>
  <w:style w:styleId="Style_22_ch" w:type="character">
    <w:name w:val="Текст информации об изменениях"/>
    <w:basedOn w:val="Style_9_ch"/>
    <w:link w:val="Style_22"/>
    <w:rPr>
      <w:color w:val="353842"/>
      <w:sz w:val="18"/>
    </w:rPr>
  </w:style>
  <w:style w:styleId="Style_21" w:type="paragraph">
    <w:name w:val="Комментарий"/>
    <w:basedOn w:val="Style_12"/>
    <w:next w:val="Style_9"/>
    <w:link w:val="Style_21_ch"/>
    <w:pPr>
      <w:spacing w:before="75"/>
      <w:ind w:right="0"/>
      <w:jc w:val="both"/>
    </w:pPr>
    <w:rPr>
      <w:color w:val="353842"/>
      <w:shd w:fill="F0F0F0" w:val="clear"/>
    </w:rPr>
  </w:style>
  <w:style w:styleId="Style_21_ch" w:type="character">
    <w:name w:val="Комментарий"/>
    <w:basedOn w:val="Style_12_ch"/>
    <w:link w:val="Style_21"/>
    <w:rPr>
      <w:color w:val="353842"/>
      <w:shd w:fill="F0F0F0" w:val="clear"/>
    </w:rPr>
  </w:style>
  <w:style w:styleId="Style_23" w:type="paragraph">
    <w:name w:val="Информация об изменениях"/>
    <w:basedOn w:val="Style_22"/>
    <w:next w:val="Style_9"/>
    <w:link w:val="Style_23_ch"/>
    <w:pPr>
      <w:spacing w:before="180"/>
      <w:ind w:firstLine="0" w:left="360" w:right="360"/>
    </w:pPr>
    <w:rPr>
      <w:shd w:fill="EAEFED" w:val="clear"/>
    </w:rPr>
  </w:style>
  <w:style w:styleId="Style_23_ch" w:type="character">
    <w:name w:val="Информация об изменениях"/>
    <w:basedOn w:val="Style_22_ch"/>
    <w:link w:val="Style_23"/>
    <w:rPr>
      <w:shd w:fill="EAEFED" w:val="clear"/>
    </w:rPr>
  </w:style>
  <w:style w:styleId="Style_5" w:type="paragraph">
    <w:name w:val="List Paragraph"/>
    <w:basedOn w:val="Style_9"/>
    <w:link w:val="Style_5_ch"/>
    <w:pPr>
      <w:ind w:firstLine="0" w:left="720"/>
      <w:contextualSpacing w:val="1"/>
    </w:pPr>
  </w:style>
  <w:style w:styleId="Style_5_ch" w:type="character">
    <w:name w:val="List Paragraph"/>
    <w:basedOn w:val="Style_9_ch"/>
    <w:link w:val="Style_5"/>
  </w:style>
  <w:style w:styleId="Style_24" w:type="paragraph">
    <w:name w:val="toc 3"/>
    <w:next w:val="Style_9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Прижатый влево"/>
    <w:basedOn w:val="Style_9"/>
    <w:next w:val="Style_9"/>
    <w:link w:val="Style_25_ch"/>
    <w:pPr>
      <w:ind w:firstLine="0" w:left="0"/>
      <w:jc w:val="left"/>
    </w:pPr>
  </w:style>
  <w:style w:styleId="Style_25_ch" w:type="character">
    <w:name w:val="Прижатый влево"/>
    <w:basedOn w:val="Style_9_ch"/>
    <w:link w:val="Style_25"/>
  </w:style>
  <w:style w:styleId="Style_16" w:type="paragraph">
    <w:name w:val="annotation text"/>
    <w:basedOn w:val="Style_9"/>
    <w:link w:val="Style_16_ch"/>
    <w:rPr>
      <w:sz w:val="20"/>
    </w:rPr>
  </w:style>
  <w:style w:styleId="Style_16_ch" w:type="character">
    <w:name w:val="annotation text"/>
    <w:basedOn w:val="Style_9_ch"/>
    <w:link w:val="Style_16"/>
    <w:rPr>
      <w:sz w:val="20"/>
    </w:rPr>
  </w:style>
  <w:style w:styleId="Style_1" w:type="paragraph">
    <w:name w:val="header"/>
    <w:basedOn w:val="Style_9"/>
    <w:link w:val="Style_1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1_ch" w:type="character">
    <w:name w:val="header"/>
    <w:basedOn w:val="Style_9_ch"/>
    <w:link w:val="Style_1"/>
    <w:rPr>
      <w:rFonts w:asciiTheme="minorAscii" w:hAnsiTheme="minorHAnsi"/>
      <w:sz w:val="22"/>
    </w:rPr>
  </w:style>
  <w:style w:styleId="Style_26" w:type="paragraph">
    <w:name w:val="ConsPlusTitle"/>
    <w:link w:val="Style_26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6_ch" w:type="character">
    <w:name w:val="ConsPlusTitle"/>
    <w:link w:val="Style_26"/>
    <w:rPr>
      <w:rFonts w:ascii="Calibri" w:hAnsi="Calibri"/>
      <w:b w:val="1"/>
    </w:rPr>
  </w:style>
  <w:style w:styleId="Style_27" w:type="paragraph">
    <w:name w:val="Цветовое выделение"/>
    <w:link w:val="Style_27_ch"/>
    <w:rPr>
      <w:b w:val="1"/>
      <w:color w:val="26282F"/>
    </w:rPr>
  </w:style>
  <w:style w:styleId="Style_27_ch" w:type="character">
    <w:name w:val="Цветовое выделение"/>
    <w:link w:val="Style_27"/>
    <w:rPr>
      <w:b w:val="1"/>
      <w:color w:val="26282F"/>
    </w:rPr>
  </w:style>
  <w:style w:styleId="Style_28" w:type="paragraph">
    <w:name w:val="Подзаголовок для информации об изменениях"/>
    <w:basedOn w:val="Style_22"/>
    <w:next w:val="Style_9"/>
    <w:link w:val="Style_28_ch"/>
    <w:rPr>
      <w:b w:val="1"/>
    </w:rPr>
  </w:style>
  <w:style w:styleId="Style_28_ch" w:type="character">
    <w:name w:val="Подзаголовок для информации об изменениях"/>
    <w:basedOn w:val="Style_22_ch"/>
    <w:link w:val="Style_28"/>
    <w:rPr>
      <w:b w:val="1"/>
    </w:rPr>
  </w:style>
  <w:style w:styleId="Style_29" w:type="paragraph">
    <w:name w:val="heading 5"/>
    <w:next w:val="Style_9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" w:type="paragraph">
    <w:name w:val="heading 1"/>
    <w:basedOn w:val="Style_9"/>
    <w:next w:val="Style_9"/>
    <w:link w:val="Style_3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9_ch"/>
    <w:link w:val="Style_3"/>
    <w:rPr>
      <w:b w:val="1"/>
      <w:color w:val="26282F"/>
    </w:rPr>
  </w:style>
  <w:style w:styleId="Style_7" w:type="paragraph">
    <w:name w:val="Нормальный (таблица)"/>
    <w:basedOn w:val="Style_9"/>
    <w:next w:val="Style_9"/>
    <w:link w:val="Style_7_ch"/>
    <w:pPr>
      <w:ind w:firstLine="0" w:left="0"/>
    </w:pPr>
  </w:style>
  <w:style w:styleId="Style_7_ch" w:type="character">
    <w:name w:val="Нормальный (таблица)"/>
    <w:basedOn w:val="Style_9_ch"/>
    <w:link w:val="Style_7"/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toc 1"/>
    <w:next w:val="Style_9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annotation reference"/>
    <w:basedOn w:val="Style_35"/>
    <w:link w:val="Style_34_ch"/>
    <w:rPr>
      <w:sz w:val="16"/>
    </w:rPr>
  </w:style>
  <w:style w:styleId="Style_34_ch" w:type="character">
    <w:name w:val="annotation reference"/>
    <w:basedOn w:val="Style_35_ch"/>
    <w:link w:val="Style_34"/>
    <w:rPr>
      <w:sz w:val="16"/>
    </w:rPr>
  </w:style>
  <w:style w:styleId="Style_36" w:type="paragraph">
    <w:name w:val="toc 9"/>
    <w:next w:val="Style_9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toc 8"/>
    <w:next w:val="Style_9"/>
    <w:link w:val="Style_3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toc 5"/>
    <w:next w:val="Style_9"/>
    <w:link w:val="Style_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2" w:type="paragraph">
    <w:name w:val="footer"/>
    <w:basedOn w:val="Style_9"/>
    <w:link w:val="Style_2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2_ch" w:type="character">
    <w:name w:val="footer"/>
    <w:basedOn w:val="Style_9_ch"/>
    <w:link w:val="Style_2"/>
    <w:rPr>
      <w:rFonts w:asciiTheme="minorAscii" w:hAnsiTheme="minorHAnsi"/>
      <w:sz w:val="22"/>
    </w:rPr>
  </w:style>
  <w:style w:styleId="Style_39" w:type="paragraph">
    <w:name w:val="page number"/>
    <w:basedOn w:val="Style_35"/>
    <w:link w:val="Style_39_ch"/>
  </w:style>
  <w:style w:styleId="Style_39_ch" w:type="character">
    <w:name w:val="page number"/>
    <w:basedOn w:val="Style_35_ch"/>
    <w:link w:val="Style_39"/>
  </w:style>
  <w:style w:styleId="Style_40" w:type="paragraph">
    <w:name w:val="Emphasis"/>
    <w:basedOn w:val="Style_35"/>
    <w:link w:val="Style_40_ch"/>
    <w:rPr>
      <w:i w:val="1"/>
    </w:rPr>
  </w:style>
  <w:style w:styleId="Style_40_ch" w:type="character">
    <w:name w:val="Emphasis"/>
    <w:basedOn w:val="Style_35_ch"/>
    <w:link w:val="Style_40"/>
    <w:rPr>
      <w:i w:val="1"/>
    </w:rPr>
  </w:style>
  <w:style w:styleId="Style_41" w:type="paragraph">
    <w:name w:val="Balloon Text"/>
    <w:basedOn w:val="Style_9"/>
    <w:link w:val="Style_41_ch"/>
    <w:rPr>
      <w:rFonts w:ascii="Segoe UI" w:hAnsi="Segoe UI"/>
      <w:sz w:val="18"/>
    </w:rPr>
  </w:style>
  <w:style w:styleId="Style_41_ch" w:type="character">
    <w:name w:val="Balloon Text"/>
    <w:basedOn w:val="Style_9_ch"/>
    <w:link w:val="Style_41"/>
    <w:rPr>
      <w:rFonts w:ascii="Segoe UI" w:hAnsi="Segoe UI"/>
      <w:sz w:val="18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42" w:type="paragraph">
    <w:name w:val="Subtitle"/>
    <w:next w:val="Style_9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Title"/>
    <w:next w:val="Style_9"/>
    <w:link w:val="Style_4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3_ch" w:type="character">
    <w:name w:val="Title"/>
    <w:link w:val="Style_43"/>
    <w:rPr>
      <w:rFonts w:ascii="XO Thames" w:hAnsi="XO Thames"/>
      <w:b w:val="1"/>
      <w:caps w:val="1"/>
      <w:sz w:val="40"/>
    </w:rPr>
  </w:style>
  <w:style w:styleId="Style_44" w:type="paragraph">
    <w:name w:val="heading 4"/>
    <w:next w:val="Style_9"/>
    <w:link w:val="Style_4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heading 2"/>
    <w:next w:val="Style_9"/>
    <w:link w:val="Style_4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46" w:type="paragraph">
    <w:name w:val="Гипертекстовая ссылка"/>
    <w:basedOn w:val="Style_27"/>
    <w:link w:val="Style_46_ch"/>
    <w:rPr>
      <w:b w:val="0"/>
      <w:color w:val="106BBE"/>
    </w:rPr>
  </w:style>
  <w:style w:styleId="Style_46_ch" w:type="character">
    <w:name w:val="Гипертекстовая ссылка"/>
    <w:basedOn w:val="Style_27_ch"/>
    <w:link w:val="Style_46"/>
    <w:rPr>
      <w:b w:val="0"/>
      <w:color w:val="106BBE"/>
    </w:rPr>
  </w:style>
  <w:style w:styleId="Style_47" w:type="paragraph">
    <w:name w:val="Цветовое выделение для Текст"/>
    <w:link w:val="Style_47_ch"/>
  </w:style>
  <w:style w:styleId="Style_47_ch" w:type="character">
    <w:name w:val="Цветовое выделение для Текст"/>
    <w:link w:val="Style_47"/>
  </w:style>
  <w:style w:styleId="Style_8" w:type="table">
    <w:name w:val="Table Grid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8" w:type="table">
    <w:name w:val="Сетка таблицы1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2025-04-01T09:56:52Z</dcterms:modified>
</cp:coreProperties>
</file>