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outlineLvl w:val="0"/>
        <w:rPr>
          <w:rFonts w:ascii="PT Astra Serif" w:hAnsi="PT Astra Serif"/>
          <w:color w:val="000000"/>
          <w:sz w:val="28"/>
        </w:rPr>
      </w:pPr>
      <w:r>
        <w:rPr>
          <w:b w:val="0"/>
          <w:spacing w:val="-4"/>
          <w:sz w:val="28"/>
        </w:rPr>
        <w:t>17.</w:t>
      </w:r>
      <w:r>
        <w:rPr>
          <w:b w:val="0"/>
          <w:spacing w:val="-4"/>
          <w:sz w:val="28"/>
        </w:rPr>
        <w:t>03</w:t>
      </w:r>
      <w:r>
        <w:rPr>
          <w:b w:val="0"/>
          <w:spacing w:val="-4"/>
          <w:sz w:val="28"/>
        </w:rPr>
        <w:t>.20</w:t>
      </w:r>
      <w:r>
        <w:rPr>
          <w:b w:val="0"/>
          <w:spacing w:val="-4"/>
          <w:sz w:val="28"/>
        </w:rPr>
        <w:t>25</w:t>
      </w:r>
      <w:r>
        <w:rPr>
          <w:b w:val="0"/>
          <w:spacing w:val="-4"/>
          <w:sz w:val="28"/>
        </w:rPr>
        <w:t xml:space="preserve">                                         </w:t>
      </w:r>
      <w:r>
        <w:rPr>
          <w:b w:val="0"/>
          <w:spacing w:val="-4"/>
          <w:sz w:val="28"/>
        </w:rPr>
        <w:t xml:space="preserve">                             № 2436</w:t>
      </w:r>
      <w:r>
        <w:rPr>
          <w:b w:val="0"/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outlineLvl w:val="0"/>
        <w:rPr>
          <w:rFonts w:ascii="PT Astra Serif" w:hAnsi="PT Astra Serif"/>
          <w:color w:val="000000"/>
          <w:sz w:val="28"/>
        </w:rPr>
      </w:pPr>
    </w:p>
    <w:p w14:paraId="09000000">
      <w:pPr>
        <w:spacing w:after="0" w:line="240" w:lineRule="auto"/>
        <w:ind w:right="4535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 внесении изменений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постановление администрации города Магнитогорска от 04.05.2021 № 4738-П</w:t>
      </w:r>
    </w:p>
    <w:p w14:paraId="0A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соответствии с Бюджетным кодексом Российской Федерации, Федеральным законом от 06.10.2003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131-ФЗ «Об общих принципах организации местного самоуправления в Российской Федерации», приказом Министерства просвещения Российской Федерации от 22.09.2021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662</w:t>
      </w:r>
      <w:r>
        <w:br/>
      </w:r>
      <w:r>
        <w:rPr>
          <w:rFonts w:ascii="PT Astra Serif" w:hAnsi="PT Astra Serif"/>
          <w:color w:val="000000"/>
          <w:sz w:val="28"/>
        </w:rPr>
        <w:t>«Об утверждении общих требований к определению нормативных затрат</w:t>
      </w:r>
      <w:r>
        <w:br/>
      </w:r>
      <w:r>
        <w:rPr>
          <w:rFonts w:ascii="PT Astra Serif" w:hAnsi="PT Astra Serif"/>
          <w:color w:val="000000"/>
          <w:sz w:val="28"/>
        </w:rPr>
        <w:t>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</w:t>
      </w:r>
      <w:r>
        <w:br/>
      </w:r>
      <w:r>
        <w:rPr>
          <w:rFonts w:ascii="PT Astra Serif" w:hAnsi="PT Astra Serif"/>
          <w:color w:val="000000"/>
          <w:sz w:val="28"/>
        </w:rPr>
        <w:t>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</w:r>
      <w:r>
        <w:br/>
      </w:r>
      <w:r>
        <w:rPr>
          <w:rFonts w:ascii="PT Astra Serif" w:hAnsi="PT Astra Serif"/>
          <w:color w:val="000000"/>
          <w:sz w:val="28"/>
        </w:rPr>
        <w:t>на оказание государственных (муниципальных) услуг (выполнение работ) государственным (муниципальным) учреждением», постановлением администрации города Магнитогорска от 10.11.2022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11929-П</w:t>
      </w:r>
      <w:r>
        <w:br/>
      </w:r>
      <w:r>
        <w:rPr>
          <w:rFonts w:ascii="PT Astra Serif" w:hAnsi="PT Astra Serif"/>
          <w:color w:val="000000"/>
          <w:sz w:val="28"/>
        </w:rPr>
        <w:t>«Об утверждении Порядка формирования муниципального задания</w:t>
      </w:r>
      <w:r>
        <w:br/>
      </w:r>
      <w:r>
        <w:rPr>
          <w:rFonts w:ascii="PT Astra Serif" w:hAnsi="PT Astra Serif"/>
          <w:color w:val="000000"/>
          <w:sz w:val="28"/>
        </w:rPr>
        <w:t>на оказание муниципальных услуг (выполнение работ) в отношении муниципальных учреждений и финансового обеспечения выполнения муниципального задания и Порядка предоставления субсидий муниципальным бюджетным и муниципальным автономным учреждениям</w:t>
      </w:r>
      <w:r>
        <w:br/>
      </w:r>
      <w:r>
        <w:rPr>
          <w:rFonts w:ascii="PT Astra Serif" w:hAnsi="PT Astra Serif"/>
          <w:color w:val="000000"/>
          <w:sz w:val="28"/>
        </w:rPr>
        <w:t>на финансовое обеспечение выполнения ими муниципального задания», руководствуясь Уставом города Магнитогорска,</w:t>
      </w:r>
    </w:p>
    <w:p w14:paraId="0C000000">
      <w:pPr>
        <w:spacing w:after="0" w:line="240" w:lineRule="auto"/>
        <w:ind w:firstLine="567" w:left="0"/>
        <w:jc w:val="both"/>
        <w:rPr>
          <w:rFonts w:ascii="PT Astra Serif" w:hAnsi="PT Astra Serif"/>
          <w:color w:val="000000"/>
          <w:sz w:val="28"/>
        </w:rPr>
      </w:pPr>
    </w:p>
    <w:p w14:paraId="0D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t>от 04.05.2021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4738-П «Об утверждении Порядка определения нормативных затрат на оказание муниципальных услуг (выполнение работ)</w:t>
      </w:r>
      <w:r>
        <w:br/>
      </w:r>
      <w:r>
        <w:rPr>
          <w:rFonts w:ascii="PT Astra Serif" w:hAnsi="PT Astra Serif"/>
          <w:color w:val="000000"/>
          <w:sz w:val="28"/>
        </w:rPr>
        <w:t xml:space="preserve">в сфере образования </w:t>
      </w:r>
      <w:r>
        <w:rPr>
          <w:rFonts w:ascii="PT Astra Serif" w:hAnsi="PT Astra Serif"/>
          <w:color w:val="000000"/>
          <w:sz w:val="28"/>
        </w:rPr>
        <w:t xml:space="preserve">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 учреждением, подведомственным Управлению образования администрации города Магнитогорска» (далее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постановление) следующие изменения: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1)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 xml:space="preserve">пункт 3 приложения к постановлению изложить </w:t>
      </w:r>
      <w:r>
        <w:rPr>
          <w:rFonts w:ascii="PT Astra Serif" w:hAnsi="PT Astra Serif"/>
          <w:color w:val="000000"/>
          <w:sz w:val="28"/>
        </w:rPr>
        <w:t>в следующей редакции: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«3.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Нормативные затраты на оказание муниципальных услуг рассчитываются на единицу показателя объема оказания муниципальной услуги, установленного в общероссийском перечне (классификаторе).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Нормативные затраты на оказание муниципальных услуг в сфере образования, за исключением муниципальных услуг по реализации дополнительных образовательных программ, определяются в расчете</w:t>
      </w:r>
      <w:r>
        <w:br/>
      </w:r>
      <w:r>
        <w:rPr>
          <w:rFonts w:ascii="PT Astra Serif" w:hAnsi="PT Astra Serif"/>
          <w:color w:val="000000"/>
          <w:sz w:val="28"/>
        </w:rPr>
        <w:t>на одного обучающегося по каждому уровню образования в соответствии</w:t>
      </w:r>
      <w:r>
        <w:br/>
      </w:r>
      <w:r>
        <w:rPr>
          <w:rFonts w:ascii="PT Astra Serif" w:hAnsi="PT Astra Serif"/>
          <w:color w:val="000000"/>
          <w:sz w:val="28"/>
        </w:rPr>
        <w:t xml:space="preserve">с федеральными государственными образовательными </w:t>
      </w:r>
      <w:r>
        <w:rPr>
          <w:rFonts w:ascii="PT Astra Serif" w:hAnsi="PT Astra Serif"/>
          <w:color w:val="000000"/>
          <w:sz w:val="28"/>
        </w:rPr>
        <w:t>стандартами,</w:t>
      </w:r>
      <w:r>
        <w:br/>
      </w:r>
      <w:r>
        <w:rPr>
          <w:rFonts w:ascii="PT Astra Serif" w:hAnsi="PT Astra Serif"/>
          <w:color w:val="000000"/>
          <w:sz w:val="28"/>
        </w:rPr>
        <w:t>по каждому виду и направленности (профилю) образовательных программ</w:t>
      </w:r>
      <w:r>
        <w:br/>
      </w:r>
      <w:r>
        <w:rPr>
          <w:rFonts w:ascii="PT Astra Serif" w:hAnsi="PT Astra Serif"/>
          <w:color w:val="000000"/>
          <w:sz w:val="28"/>
        </w:rPr>
        <w:t>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от 29.12.2012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273-ФЗ</w:t>
      </w:r>
      <w:r>
        <w:br/>
      </w:r>
      <w:r>
        <w:rPr>
          <w:rFonts w:ascii="PT Astra Serif" w:hAnsi="PT Astra Serif"/>
          <w:color w:val="000000"/>
          <w:sz w:val="28"/>
        </w:rPr>
        <w:t xml:space="preserve">«Об образовании в Российской Федерации» (далее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Федеральный закон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273-ФЗ) особенностей организации и осуществления образовательных услуг (для различных категорий обучающихся), за исключением образовательной деятельности, осуществляемой в соответствии</w:t>
      </w:r>
      <w:r>
        <w:br/>
      </w:r>
      <w:r>
        <w:rPr>
          <w:rFonts w:ascii="PT Astra Serif" w:hAnsi="PT Astra Serif"/>
          <w:color w:val="000000"/>
          <w:sz w:val="28"/>
        </w:rPr>
        <w:t>с образовательными стандартами.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Нормативные затраты на оказание муниципальных услуг</w:t>
      </w:r>
      <w:r>
        <w:br/>
      </w:r>
      <w:r>
        <w:rPr>
          <w:rFonts w:ascii="PT Astra Serif" w:hAnsi="PT Astra Serif"/>
          <w:color w:val="000000"/>
          <w:sz w:val="28"/>
        </w:rPr>
        <w:t>по реализации дополнительных образовательных программ определяются</w:t>
      </w:r>
      <w:r>
        <w:br/>
      </w:r>
      <w:r>
        <w:rPr>
          <w:rFonts w:ascii="PT Astra Serif" w:hAnsi="PT Astra Serif"/>
          <w:color w:val="000000"/>
          <w:sz w:val="28"/>
        </w:rPr>
        <w:t>в расчете на человеко-час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273-ФЗ особенностей организации</w:t>
      </w:r>
      <w:r>
        <w:br/>
      </w:r>
      <w:r>
        <w:rPr>
          <w:rFonts w:ascii="PT Astra Serif" w:hAnsi="PT Astra Serif"/>
          <w:color w:val="000000"/>
          <w:sz w:val="28"/>
        </w:rPr>
        <w:t>и осуществления образовательных услуг (для различных категорий обучающихся).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Объем муниципальных услуг по реализации дополнительных образовательных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частями 6 и 13 статьи 76</w:t>
      </w:r>
      <w:r>
        <w:br/>
      </w:r>
      <w:r>
        <w:rPr>
          <w:rFonts w:ascii="PT Astra Serif" w:hAnsi="PT Astra Serif"/>
          <w:color w:val="000000"/>
          <w:sz w:val="28"/>
        </w:rPr>
        <w:t>и частью 8 статьи 73 Федерального закона № 273-ФЗ, если иное</w:t>
      </w:r>
      <w:r>
        <w:br/>
      </w:r>
      <w:r>
        <w:rPr>
          <w:rFonts w:ascii="PT Astra Serif" w:hAnsi="PT Astra Serif"/>
          <w:color w:val="000000"/>
          <w:sz w:val="28"/>
        </w:rPr>
        <w:t>не установлено федеральными законами.»;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2)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>пункт 17 приложения к постановлению изложить в следующей редакции: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  <w:shd w:fill="F0F0F0" w:val="clear"/>
        </w:rPr>
      </w:pPr>
      <w:r>
        <w:rPr>
          <w:rFonts w:ascii="PT Astra Serif" w:hAnsi="PT Astra Serif"/>
          <w:color w:val="000000"/>
          <w:sz w:val="28"/>
        </w:rPr>
        <w:t>«17. Нормативные затраты на оказание i-ой услуги (</w:t>
      </w:r>
      <w:r>
        <w:rPr>
          <w:rFonts w:ascii="PT Astra Serif" w:hAnsi="PT Astra Serif"/>
          <w:i w:val="1"/>
          <w:color w:val="000000"/>
          <w:sz w:val="28"/>
        </w:rPr>
        <w:t>w</w:t>
      </w:r>
      <w:r>
        <w:rPr>
          <w:rFonts w:ascii="PT Astra Serif" w:hAnsi="PT Astra Serif"/>
          <w:color w:val="000000"/>
          <w:sz w:val="28"/>
        </w:rPr>
        <w:t>-ой работы) (</w:t>
      </w:r>
      <w:r>
        <w:rPr>
          <w:rFonts w:ascii="PT Astra Serif" w:hAnsi="PT Astra Serif"/>
          <w:i w:val="1"/>
          <w:color w:val="000000"/>
          <w:sz w:val="28"/>
        </w:rPr>
        <w:t>N</w:t>
      </w:r>
      <w:r>
        <w:rPr>
          <w:rFonts w:ascii="PT Astra Serif" w:hAnsi="PT Astra Serif"/>
          <w:color w:val="000000"/>
          <w:sz w:val="28"/>
          <w:vertAlign w:val="subscript"/>
        </w:rPr>
        <w:t> i(w</w:t>
      </w:r>
      <w:r>
        <w:rPr>
          <w:rFonts w:ascii="PT Astra Serif" w:hAnsi="PT Astra Serif"/>
          <w:color w:val="000000"/>
          <w:sz w:val="28"/>
          <w:vertAlign w:val="subscript"/>
        </w:rPr>
        <w:t>)</w:t>
      </w:r>
      <w:r>
        <w:rPr>
          <w:rFonts w:ascii="PT Astra Serif" w:hAnsi="PT Astra Serif"/>
          <w:color w:val="000000"/>
          <w:sz w:val="28"/>
        </w:rPr>
        <w:t> )</w:t>
      </w:r>
      <w:r>
        <w:rPr>
          <w:rFonts w:ascii="PT Astra Serif" w:hAnsi="PT Astra Serif"/>
          <w:color w:val="000000"/>
          <w:sz w:val="28"/>
        </w:rPr>
        <w:t xml:space="preserve"> на соответствующий финансовый год рассчитываются по следующей формуле:</w:t>
      </w:r>
    </w:p>
    <w:p w14:paraId="1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</w:p>
    <w:p w14:paraId="17000000">
      <w:pPr>
        <w:widowControl w:val="0"/>
        <w:spacing w:after="0" w:line="240" w:lineRule="auto"/>
        <w:ind w:firstLine="698" w:left="0"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i w:val="1"/>
          <w:color w:val="000000"/>
          <w:sz w:val="28"/>
        </w:rPr>
        <w:t>N</w:t>
      </w:r>
      <w:r>
        <w:rPr>
          <w:rFonts w:ascii="PT Astra Serif" w:hAnsi="PT Astra Serif"/>
          <w:color w:val="000000"/>
          <w:sz w:val="28"/>
          <w:vertAlign w:val="subscript"/>
        </w:rPr>
        <w:t> i(w)</w:t>
      </w:r>
      <w:r>
        <w:rPr>
          <w:rFonts w:ascii="PT Astra Serif" w:hAnsi="PT Astra Serif"/>
          <w:color w:val="000000"/>
          <w:sz w:val="28"/>
        </w:rPr>
        <w:t>=</w:t>
      </w:r>
      <w:r>
        <w:rPr>
          <w:rFonts w:ascii="PT Astra Serif" w:hAnsi="PT Astra Serif"/>
          <w:i w:val="1"/>
          <w:color w:val="000000"/>
          <w:sz w:val="28"/>
        </w:rPr>
        <w:t>N</w:t>
      </w:r>
      <w:r>
        <w:rPr>
          <w:rFonts w:ascii="PT Astra Serif" w:hAnsi="PT Astra Serif"/>
          <w:color w:val="000000"/>
          <w:sz w:val="28"/>
          <w:vertAlign w:val="subscript"/>
        </w:rPr>
        <w:t> i(w)баз</w:t>
      </w:r>
      <w:r>
        <w:rPr>
          <w:rFonts w:ascii="PT Astra Serif" w:hAnsi="PT Astra Serif"/>
          <w:color w:val="000000"/>
          <w:sz w:val="28"/>
        </w:rPr>
        <w:drawing>
          <wp:inline>
            <wp:extent cx="111760" cy="2120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  <w:vertAlign w:val="subscript"/>
        </w:rPr>
        <w:t> </w:t>
      </w:r>
      <w:r>
        <w:rPr>
          <w:rFonts w:ascii="PT Astra Serif" w:hAnsi="PT Astra Serif"/>
          <w:color w:val="000000"/>
          <w:sz w:val="28"/>
          <w:vertAlign w:val="subscript"/>
        </w:rPr>
        <w:t>отр</w:t>
      </w:r>
      <w:r>
        <w:rPr>
          <w:rFonts w:ascii="PT Astra Serif" w:hAnsi="PT Astra Serif"/>
          <w:color w:val="000000"/>
          <w:sz w:val="28"/>
        </w:rPr>
        <w:drawing>
          <wp:inline>
            <wp:extent cx="111760" cy="21209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  <w:vertAlign w:val="subscript"/>
        </w:rPr>
        <w:t> тер</w:t>
      </w:r>
      <w:r>
        <w:rPr>
          <w:rFonts w:ascii="PT Astra Serif" w:hAnsi="PT Astra Serif"/>
          <w:color w:val="000000"/>
          <w:sz w:val="28"/>
        </w:rPr>
        <w:drawing>
          <wp:inline>
            <wp:extent cx="111760" cy="21209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11760" cy="2120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  <w:vertAlign w:val="subscript"/>
        </w:rPr>
        <w:t> i(w)</w:t>
      </w:r>
      <w:r>
        <w:rPr>
          <w:rFonts w:ascii="PT Astra Serif" w:hAnsi="PT Astra Serif"/>
          <w:color w:val="000000"/>
          <w:sz w:val="28"/>
          <w:vertAlign w:val="subscript"/>
        </w:rPr>
        <w:t>выр</w:t>
      </w:r>
      <w:r>
        <w:rPr>
          <w:rFonts w:ascii="PT Astra Serif" w:hAnsi="PT Astra Serif"/>
          <w:color w:val="000000"/>
          <w:sz w:val="28"/>
        </w:rPr>
        <w:t>, где:</w:t>
      </w:r>
    </w:p>
    <w:p w14:paraId="1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</w:p>
    <w:p w14:paraId="1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i w:val="1"/>
          <w:color w:val="000000"/>
          <w:sz w:val="28"/>
        </w:rPr>
        <w:t>N</w:t>
      </w:r>
      <w:r>
        <w:rPr>
          <w:rFonts w:ascii="PT Astra Serif" w:hAnsi="PT Astra Serif"/>
          <w:color w:val="000000"/>
          <w:sz w:val="28"/>
          <w:vertAlign w:val="subscript"/>
        </w:rPr>
        <w:t> i(w)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нормативные затраты на оказание i-ой услуги (w-ой работы);</w:t>
      </w:r>
    </w:p>
    <w:p w14:paraId="1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i w:val="1"/>
          <w:color w:val="000000"/>
          <w:sz w:val="28"/>
        </w:rPr>
        <w:t>N</w:t>
      </w:r>
      <w:r>
        <w:rPr>
          <w:rFonts w:ascii="PT Astra Serif" w:hAnsi="PT Astra Serif"/>
          <w:color w:val="000000"/>
          <w:sz w:val="28"/>
          <w:vertAlign w:val="subscript"/>
        </w:rPr>
        <w:t> i(w)баз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базовый норматив затрат на оказание i-ой услуги (w-ой работы);</w:t>
      </w:r>
    </w:p>
    <w:p w14:paraId="1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  <w:vertAlign w:val="subscript"/>
        </w:rPr>
        <w:t> </w:t>
      </w:r>
      <w:r>
        <w:rPr>
          <w:rFonts w:ascii="PT Astra Serif" w:hAnsi="PT Astra Serif"/>
          <w:color w:val="000000"/>
          <w:sz w:val="28"/>
          <w:vertAlign w:val="subscript"/>
        </w:rPr>
        <w:t>отр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отраслевой корректирующий коэффициент;</w:t>
      </w:r>
    </w:p>
    <w:p w14:paraId="1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  <w:vertAlign w:val="subscript"/>
        </w:rPr>
        <w:t> тер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территориальный корректирующий коэффициент;</w:t>
      </w:r>
    </w:p>
    <w:p w14:paraId="1D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z w:val="28"/>
          <w:vertAlign w:val="subscript"/>
        </w:rPr>
        <w:t> i(w)</w:t>
      </w:r>
      <w:r>
        <w:rPr>
          <w:rFonts w:ascii="PT Astra Serif" w:hAnsi="PT Astra Serif"/>
          <w:color w:val="000000"/>
          <w:sz w:val="28"/>
          <w:vertAlign w:val="subscript"/>
        </w:rPr>
        <w:t>выр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коэффициент выравнивания к i-ой услуге (w-ой работе).</w:t>
      </w:r>
    </w:p>
    <w:p w14:paraId="1E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</w:p>
    <w:p w14:paraId="1F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Базовый норматив затрат на оказание i-ой услуги (w-ой работы) (</w:t>
      </w:r>
      <w:r>
        <w:rPr>
          <w:rFonts w:ascii="PT Astra Serif" w:hAnsi="PT Astra Serif"/>
          <w:i w:val="1"/>
          <w:color w:val="000000"/>
          <w:sz w:val="28"/>
        </w:rPr>
        <w:t>N</w:t>
      </w:r>
      <w:r>
        <w:rPr>
          <w:rFonts w:ascii="PT Astra Serif" w:hAnsi="PT Astra Serif"/>
          <w:color w:val="000000"/>
          <w:sz w:val="28"/>
          <w:vertAlign w:val="subscript"/>
        </w:rPr>
        <w:t> i(w)</w:t>
      </w:r>
      <w:r>
        <w:rPr>
          <w:rFonts w:ascii="PT Astra Serif" w:hAnsi="PT Astra Serif"/>
          <w:color w:val="000000"/>
          <w:sz w:val="28"/>
          <w:vertAlign w:val="subscript"/>
        </w:rPr>
        <w:t>баз</w:t>
      </w:r>
      <w:r>
        <w:rPr>
          <w:rFonts w:ascii="PT Astra Serif" w:hAnsi="PT Astra Serif"/>
          <w:color w:val="000000"/>
          <w:sz w:val="28"/>
        </w:rPr>
        <w:t> )</w:t>
      </w:r>
      <w:r>
        <w:rPr>
          <w:rFonts w:ascii="PT Astra Serif" w:hAnsi="PT Astra Serif"/>
          <w:color w:val="000000"/>
          <w:sz w:val="28"/>
        </w:rPr>
        <w:t xml:space="preserve"> рассчитывается по следующей формуле:</w:t>
      </w:r>
    </w:p>
    <w:p w14:paraId="20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</w:p>
    <w:p w14:paraId="21000000">
      <w:pPr>
        <w:widowControl w:val="0"/>
        <w:spacing w:after="0" w:line="240" w:lineRule="auto"/>
        <w:ind w:firstLine="698" w:left="0"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drawing>
          <wp:inline>
            <wp:extent cx="1864995" cy="32385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1864995" cy="3238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color w:val="000000"/>
          <w:sz w:val="28"/>
        </w:rPr>
        <w:t>, где:</w:t>
      </w:r>
    </w:p>
    <w:p w14:paraId="22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</w:p>
    <w:p w14:paraId="23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i w:val="1"/>
          <w:color w:val="000000"/>
          <w:sz w:val="28"/>
        </w:rPr>
        <w:t>N</w:t>
      </w:r>
      <w:r>
        <w:rPr>
          <w:rFonts w:ascii="PT Astra Serif" w:hAnsi="PT Astra Serif"/>
          <w:color w:val="000000"/>
          <w:sz w:val="28"/>
          <w:vertAlign w:val="subscript"/>
        </w:rPr>
        <w:t> i(w)баз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базовый норматив затрат на оказание i-ой услуги (w-ой работы);</w:t>
      </w:r>
    </w:p>
    <w:p w14:paraId="24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drawing>
          <wp:inline>
            <wp:extent cx="582930" cy="32385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82930" cy="3238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базовый норматив затрат, непосредственно связанных</w:t>
      </w:r>
      <w:r>
        <w:br/>
      </w:r>
      <w:r>
        <w:rPr>
          <w:rFonts w:ascii="PT Astra Serif" w:hAnsi="PT Astra Serif"/>
          <w:color w:val="000000"/>
          <w:sz w:val="28"/>
        </w:rPr>
        <w:t>с оказанием i-ой услуги (w-ой работы);</w:t>
      </w:r>
    </w:p>
    <w:p w14:paraId="25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drawing>
          <wp:inline>
            <wp:extent cx="550545" cy="32385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550545" cy="3238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базовый норматив затрат на общехозяйственные нужды</w:t>
      </w:r>
      <w:r>
        <w:br/>
      </w:r>
      <w:r>
        <w:rPr>
          <w:rFonts w:ascii="PT Astra Serif" w:hAnsi="PT Astra Serif"/>
          <w:color w:val="000000"/>
          <w:sz w:val="28"/>
        </w:rPr>
        <w:t>на оказание i-ой услуги (w-ой работы).</w:t>
      </w:r>
    </w:p>
    <w:p w14:paraId="26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случае если учреждение оказывает несколько услуг (работ) в рамках муниципального задания, затраты на общехозяйственные нужды на оказание услуги (работы) распределяются пропорционально фонду оплаты труда основного персонала за исключением</w:t>
      </w:r>
      <w:r>
        <w:rPr>
          <w:rFonts w:ascii="PT Astra Serif" w:hAnsi="PT Astra Serif"/>
          <w:color w:val="000000"/>
          <w:sz w:val="28"/>
        </w:rPr>
        <w:t>:</w:t>
      </w:r>
    </w:p>
    <w:p w14:paraId="27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1)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>учреждений дошкольного образования, в которых затраты</w:t>
      </w:r>
      <w:r>
        <w:br/>
      </w:r>
      <w:r>
        <w:rPr>
          <w:rFonts w:ascii="PT Astra Serif" w:hAnsi="PT Astra Serif"/>
          <w:color w:val="000000"/>
          <w:sz w:val="28"/>
        </w:rPr>
        <w:t>на общехозяйственные нужды распределяются в равных долях между услугами (работами), а внутри услуги (работы) - пропорциональн</w:t>
      </w:r>
      <w:r>
        <w:rPr>
          <w:rFonts w:ascii="PT Astra Serif" w:hAnsi="PT Astra Serif"/>
          <w:color w:val="000000"/>
          <w:sz w:val="28"/>
        </w:rPr>
        <w:t>о объему муниципального задания;</w:t>
      </w:r>
    </w:p>
    <w:p w14:paraId="28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2)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>учреждений</w:t>
      </w:r>
      <w:r>
        <w:rPr>
          <w:rFonts w:ascii="PT Astra Serif" w:hAnsi="PT Astra Serif"/>
          <w:color w:val="000000"/>
          <w:sz w:val="28"/>
        </w:rPr>
        <w:t xml:space="preserve">, обеспечивающих круглогодичное круглосуточное пребывание и оздоровление детей, </w:t>
      </w:r>
      <w:r>
        <w:rPr>
          <w:rFonts w:ascii="PT Astra Serif" w:hAnsi="PT Astra Serif"/>
          <w:color w:val="000000"/>
          <w:sz w:val="28"/>
        </w:rPr>
        <w:t xml:space="preserve">в которых затраты на общехозяйственные нужды </w:t>
      </w:r>
      <w:r>
        <w:rPr>
          <w:rFonts w:ascii="PT Astra Serif" w:hAnsi="PT Astra Serif"/>
          <w:color w:val="000000"/>
          <w:sz w:val="28"/>
        </w:rPr>
        <w:t>распределяются между услугами пропорционально объему муниципального задания.</w:t>
      </w:r>
    </w:p>
    <w:p w14:paraId="29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Затраты на общехозяйственные нужды на оказание услуги (работы)</w:t>
      </w:r>
      <w:r>
        <w:br/>
      </w:r>
      <w:r>
        <w:rPr>
          <w:rFonts w:ascii="PT Astra Serif" w:hAnsi="PT Astra Serif"/>
          <w:color w:val="000000"/>
          <w:sz w:val="28"/>
        </w:rPr>
        <w:t>не распределяются на услугу «Организация отдыха детей и молодежи»</w:t>
      </w:r>
      <w:r>
        <w:br/>
      </w:r>
      <w:r>
        <w:rPr>
          <w:rFonts w:ascii="PT Astra Serif" w:hAnsi="PT Astra Serif"/>
          <w:color w:val="000000"/>
          <w:sz w:val="28"/>
        </w:rPr>
        <w:t>(за исключением учреждений, обеспечивающих круглогодичное круглосуточное пребывание и оздоровление детей).</w:t>
      </w:r>
    </w:p>
    <w:p w14:paraId="2A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Затраты на общехозяйственные нужды (затраты на коммунальные услуги; на содержание объектов недвижимого имущества, а также затраты</w:t>
      </w:r>
      <w:r>
        <w:br/>
      </w:r>
      <w:r>
        <w:rPr>
          <w:rFonts w:ascii="PT Astra Serif" w:hAnsi="PT Astra Serif"/>
          <w:color w:val="000000"/>
          <w:sz w:val="28"/>
        </w:rPr>
        <w:t>на аренду указанного имущества; на содержание объектов особо ценного движимого имущества, а также затраты на аренду указанного имущества;</w:t>
      </w:r>
      <w:r>
        <w:br/>
      </w:r>
      <w:r>
        <w:rPr>
          <w:rFonts w:ascii="PT Astra Serif" w:hAnsi="PT Astra Serif"/>
          <w:color w:val="000000"/>
          <w:sz w:val="28"/>
        </w:rPr>
        <w:t>на приобретение услуг связи; на приобретение транспортных услуг;</w:t>
      </w:r>
      <w:r>
        <w:br/>
      </w:r>
      <w:r>
        <w:rPr>
          <w:rFonts w:ascii="PT Astra Serif" w:hAnsi="PT Astra Serif"/>
          <w:color w:val="000000"/>
          <w:sz w:val="28"/>
        </w:rPr>
        <w:t>на прочие общехозяйственные нужды) не распределяются на</w:t>
      </w:r>
      <w:r>
        <w:rPr>
          <w:rFonts w:ascii="PT Astra Serif" w:hAnsi="PT Astra Serif"/>
          <w:color w:val="000000"/>
          <w:sz w:val="28"/>
        </w:rPr>
        <w:t>:</w:t>
      </w:r>
    </w:p>
    <w:p w14:paraId="2B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1)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>услуги</w:t>
      </w:r>
      <w:r>
        <w:rPr>
          <w:rFonts w:ascii="PT Astra Serif" w:hAnsi="PT Astra Serif"/>
          <w:color w:val="000000"/>
          <w:sz w:val="28"/>
        </w:rPr>
        <w:t xml:space="preserve"> по реализации</w:t>
      </w:r>
      <w:r>
        <w:rPr>
          <w:rFonts w:ascii="PT Astra Serif" w:hAnsi="PT Astra Serif"/>
          <w:color w:val="000000"/>
          <w:sz w:val="28"/>
        </w:rPr>
        <w:t xml:space="preserve"> основных образовательных программ начального общего, основного общего, среднего общего образования</w:t>
      </w:r>
      <w:r>
        <w:br/>
      </w:r>
      <w:r>
        <w:rPr>
          <w:rFonts w:ascii="PT Astra Serif" w:hAnsi="PT Astra Serif"/>
          <w:color w:val="000000"/>
          <w:sz w:val="28"/>
        </w:rPr>
        <w:t xml:space="preserve">для обучающихся, проходящих обучение по состоянию здоровья на дому или в медицинских организациях; </w:t>
      </w:r>
    </w:p>
    <w:p w14:paraId="2C000000">
      <w:pPr>
        <w:widowControl w:val="0"/>
        <w:spacing w:after="0" w:line="240" w:lineRule="auto"/>
        <w:ind w:firstLine="72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2)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 xml:space="preserve">услуги </w:t>
      </w:r>
      <w:r>
        <w:rPr>
          <w:rFonts w:ascii="PT Astra Serif" w:hAnsi="PT Astra Serif"/>
          <w:color w:val="000000"/>
          <w:sz w:val="28"/>
        </w:rPr>
        <w:t>учреждений с круглосуточным пребыванием, реализующих основные общеобразовательные программы основного общего образования или дополнительных общеразвивающих программ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>».</w:t>
      </w:r>
    </w:p>
    <w:p w14:paraId="2D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Настоящее постановление вступает в силу после его официального опубликования</w:t>
      </w:r>
      <w:bookmarkStart w:id="1" w:name="_GoBack"/>
      <w:bookmarkEnd w:id="1"/>
      <w:r>
        <w:rPr>
          <w:rFonts w:ascii="PT Astra Serif" w:hAnsi="PT Astra Serif"/>
          <w:color w:val="000000"/>
          <w:sz w:val="28"/>
        </w:rPr>
        <w:t>.</w:t>
      </w:r>
    </w:p>
    <w:p w14:paraId="2E000000">
      <w:pPr>
        <w:pStyle w:val="Style_3"/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PT Astra Serif" w:hAnsi="PT Astra Serif"/>
          <w:color w:val="000000"/>
          <w:sz w:val="28"/>
        </w:rPr>
        <w:t>Болкун</w:t>
      </w:r>
      <w:r>
        <w:rPr>
          <w:rFonts w:ascii="PT Astra Serif" w:hAnsi="PT Astra Serif"/>
          <w:color w:val="000000"/>
          <w:sz w:val="28"/>
        </w:rPr>
        <w:t xml:space="preserve"> Н.И.) опубликовать настоящее постановление в средствах массовой информации. </w:t>
      </w:r>
    </w:p>
    <w:p w14:paraId="2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PT Astra Serif" w:hAnsi="PT Astra Serif"/>
          <w:color w:val="000000"/>
          <w:sz w:val="28"/>
        </w:rPr>
        <w:t>на заместителя главы города Магнитогорска Сафонову Н.В.</w:t>
      </w:r>
    </w:p>
    <w:p w14:paraId="30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1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2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3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Глава города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Магнитогорска                                                         С.Н. Бердников</w:t>
      </w:r>
    </w:p>
    <w:p w14:paraId="34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5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6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7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8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9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A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B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C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D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E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3F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40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Вр-2050615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35" w:left="114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annotation reference"/>
    <w:basedOn w:val="Style_9"/>
    <w:link w:val="Style_22_ch"/>
    <w:rPr>
      <w:sz w:val="16"/>
    </w:rPr>
  </w:style>
  <w:style w:styleId="Style_22_ch" w:type="character">
    <w:name w:val="annotation reference"/>
    <w:basedOn w:val="Style_9_ch"/>
    <w:link w:val="Style_22"/>
    <w:rPr>
      <w:sz w:val="16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annotation subject"/>
    <w:basedOn w:val="Style_25"/>
    <w:next w:val="Style_25"/>
    <w:link w:val="Style_24_ch"/>
    <w:rPr>
      <w:b w:val="1"/>
    </w:rPr>
  </w:style>
  <w:style w:styleId="Style_24_ch" w:type="character">
    <w:name w:val="annotation subject"/>
    <w:basedOn w:val="Style_25_ch"/>
    <w:link w:val="Style_24"/>
    <w:rPr>
      <w:b w:val="1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4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5" w:type="paragraph">
    <w:name w:val="annotation text"/>
    <w:basedOn w:val="Style_4"/>
    <w:link w:val="Style_25_ch"/>
    <w:pPr>
      <w:spacing w:line="240" w:lineRule="auto"/>
      <w:ind/>
    </w:pPr>
    <w:rPr>
      <w:sz w:val="20"/>
    </w:rPr>
  </w:style>
  <w:style w:styleId="Style_25_ch" w:type="character">
    <w:name w:val="annotation text"/>
    <w:basedOn w:val="Style_4_ch"/>
    <w:link w:val="Style_25"/>
    <w:rPr>
      <w:sz w:val="20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5.emf" Type="http://schemas.openxmlformats.org/officeDocument/2006/relationships/image"/>
  <Relationship Id="rId6" Target="media/4.emf" Type="http://schemas.openxmlformats.org/officeDocument/2006/relationships/image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media/2.emf" Type="http://schemas.openxmlformats.org/officeDocument/2006/relationships/image"/>
  <Relationship Id="rId3" Target="media/1.emf" Type="http://schemas.openxmlformats.org/officeDocument/2006/relationships/image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media/3.emf" Type="http://schemas.openxmlformats.org/officeDocument/2006/relationships/image"/>
  <Relationship Id="rId11" Target="styles.xml" Type="http://schemas.openxmlformats.org/officeDocument/2006/relationships/styles"/>
  <Relationship Id="rId8" Target="media/6.emf" Type="http://schemas.openxmlformats.org/officeDocument/2006/relationships/image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2025-03-18T08:40:46Z</dcterms:modified>
</cp:coreProperties>
</file>