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widowControl w:val="0"/>
        <w:ind w:firstLine="709" w:left="0"/>
        <w:jc w:val="center"/>
      </w:pPr>
      <w: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0B000000">
      <w:pPr>
        <w:widowControl w:val="0"/>
        <w:ind w:firstLine="709" w:left="0"/>
        <w:jc w:val="both"/>
        <w:rPr>
          <w:color w:val="000000"/>
        </w:rPr>
      </w:pPr>
      <w:r>
        <w:t xml:space="preserve">Основание для разработки градостроительной документации: </w:t>
      </w:r>
      <w:r>
        <w:t xml:space="preserve">Постановление администрации г. Магнитогорска от 21.10.2024г №11038-П «О подготовке </w:t>
      </w:r>
      <w:r>
        <w:rPr>
          <w:color w:val="000000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 30.11.2018 №14518-П, в районе площади «Привокзальная</w:t>
      </w:r>
      <w:r>
        <w:t>»</w:t>
      </w:r>
      <w:r>
        <w:t>.</w:t>
      </w:r>
    </w:p>
    <w:p w14:paraId="0C000000">
      <w:pPr>
        <w:widowControl w:val="0"/>
        <w:ind w:firstLine="709" w:left="0"/>
        <w:jc w:val="both"/>
        <w:rPr>
          <w:color w:val="000000"/>
        </w:rPr>
      </w:pPr>
      <w:r>
        <w:t xml:space="preserve">Основные цели и задачи, для достижения которых осуществляется подготовка документации по планировке территории: </w:t>
      </w:r>
      <w:r>
        <w:rPr>
          <w:highlight w:val="white"/>
        </w:rPr>
        <w:t>определения характеристик и очередности планируемого развития территории.</w:t>
      </w:r>
      <w:r>
        <w:rPr>
          <w:color w:val="000000"/>
        </w:rPr>
        <w:t xml:space="preserve"> </w:t>
      </w:r>
    </w:p>
    <w:p w14:paraId="0D000000">
      <w:pPr>
        <w:widowControl w:val="0"/>
        <w:ind w:firstLine="709" w:left="0"/>
        <w:jc w:val="both"/>
        <w:rPr>
          <w:color w:val="000000"/>
        </w:rPr>
      </w:pPr>
      <w:r>
        <w:t xml:space="preserve">Размещение </w:t>
      </w:r>
      <w:r>
        <w:rPr>
          <w:color w:val="000000"/>
        </w:rPr>
        <w:t>объекта улично-дорожной сети "Электрозарядная станция для электробусов" на земельном участке с кадастровым номером 74:33</w:t>
      </w:r>
      <w:r>
        <w:rPr>
          <w:color w:val="000000"/>
        </w:rPr>
        <w:t>:0123003:95.</w:t>
      </w:r>
    </w:p>
    <w:p w14:paraId="0E000000">
      <w:pPr>
        <w:widowControl w:val="0"/>
        <w:ind w:firstLine="709" w:left="0"/>
        <w:jc w:val="both"/>
      </w:pPr>
      <w:r>
        <w:t>Проект выполнен с соблюдением:</w:t>
      </w:r>
    </w:p>
    <w:p w14:paraId="0F000000">
      <w:pPr>
        <w:widowControl w:val="0"/>
        <w:ind w:firstLine="709" w:left="0"/>
        <w:jc w:val="both"/>
      </w:pPr>
      <w:r>
        <w:t>- Градостроительного Кодекса РФ;</w:t>
      </w:r>
    </w:p>
    <w:p w14:paraId="10000000">
      <w:pPr>
        <w:widowControl w:val="0"/>
        <w:ind w:firstLine="709" w:left="0"/>
        <w:jc w:val="both"/>
      </w:pPr>
      <w:r>
        <w:t>- Земельного Кодекса РФ;</w:t>
      </w:r>
    </w:p>
    <w:p w14:paraId="11000000">
      <w:pPr>
        <w:widowControl w:val="0"/>
        <w:tabs>
          <w:tab w:leader="none" w:pos="284" w:val="left"/>
        </w:tabs>
        <w:ind w:firstLine="709" w:left="0"/>
        <w:jc w:val="both"/>
      </w:pPr>
      <w:r>
        <w:t>- ГОСТ «Условные знаки для топографических планов 1:5000-1:500»;</w:t>
      </w:r>
    </w:p>
    <w:p w14:paraId="12000000">
      <w:pPr>
        <w:widowControl w:val="0"/>
        <w:ind w:firstLine="709" w:left="0"/>
        <w:jc w:val="both"/>
      </w:pPr>
      <w:r>
        <w:t>- СанПиН 2.2.1/2.1.1.1200-03 "Санитарно-защитные зоны и санитарная классификация предприятий, сооружений и иных объектов";</w:t>
      </w:r>
    </w:p>
    <w:p w14:paraId="13000000">
      <w:pPr>
        <w:widowControl w:val="0"/>
        <w:tabs>
          <w:tab w:leader="none" w:pos="709" w:val="left"/>
        </w:tabs>
        <w:ind w:firstLine="709" w:left="0"/>
        <w:jc w:val="both"/>
      </w:pPr>
      <w:r>
        <w:t>- СП 42.13330.2016 «Градостроительство. Планировки и застройка городов и сельских поселений»;</w:t>
      </w:r>
    </w:p>
    <w:p w14:paraId="14000000">
      <w:pPr>
        <w:widowControl w:val="0"/>
        <w:ind w:firstLine="709" w:left="0"/>
        <w:jc w:val="both"/>
        <w:rPr>
          <w:highlight w:val="white"/>
        </w:rPr>
      </w:pPr>
      <w:r>
        <w:t xml:space="preserve">- </w:t>
      </w:r>
      <w:r>
        <w:rPr>
          <w:highlight w:val="white"/>
        </w:rPr>
        <w:t>РДС 30-201-98 «Инструкция о порядке проектирования и установления красных линий в городах и других населениях Российской Федерации»;</w:t>
      </w:r>
    </w:p>
    <w:p w14:paraId="15000000">
      <w:pPr>
        <w:widowControl w:val="0"/>
        <w:ind w:firstLine="709" w:left="0"/>
        <w:jc w:val="both"/>
        <w:rPr>
          <w:color w:val="ED7D31"/>
        </w:rPr>
      </w:pPr>
      <w:r>
        <w:rPr>
          <w:rStyle w:val="Style_3_ch"/>
          <w:b w:val="0"/>
          <w:color w:val="000000"/>
        </w:rPr>
        <w:t>-</w:t>
      </w:r>
      <w:r>
        <w:rPr>
          <w:rStyle w:val="Style_3_ch"/>
          <w:b w:val="0"/>
          <w:color w:val="ED7D31"/>
        </w:rPr>
        <w:t xml:space="preserve"> </w:t>
      </w:r>
      <w:r>
        <w:rPr>
          <w:rStyle w:val="Style_3_ch"/>
          <w:b w:val="0"/>
          <w:color w:val="000000"/>
        </w:rPr>
        <w:t xml:space="preserve">Генерального плана города Магнитогорска, утвержденный постановлением Магнитогорского городского собрания депутатов от </w:t>
      </w:r>
      <w:r>
        <w:rPr>
          <w:rStyle w:val="Style_4_ch"/>
          <w:color w:val="000000"/>
          <w:highlight w:val="white"/>
          <w:u w:val="none"/>
        </w:rPr>
        <w:fldChar w:fldCharType="begin"/>
      </w:r>
      <w:r>
        <w:rPr>
          <w:rStyle w:val="Style_4_ch"/>
          <w:color w:val="000000"/>
          <w:highlight w:val="white"/>
          <w:u w:val="none"/>
        </w:rPr>
        <w:instrText>HYPERLINK "https://www.magnitogorsk.ru/storage/app/media/IMUSCHESTVO_GRADOSTROITELSTVO/UAIG/OTiGP/GP%202020.pdf"</w:instrText>
      </w:r>
      <w:r>
        <w:rPr>
          <w:rStyle w:val="Style_4_ch"/>
          <w:color w:val="000000"/>
          <w:highlight w:val="white"/>
          <w:u w:val="none"/>
        </w:rPr>
        <w:fldChar w:fldCharType="separate"/>
      </w:r>
      <w:r>
        <w:rPr>
          <w:rStyle w:val="Style_4_ch"/>
          <w:color w:val="000000"/>
          <w:highlight w:val="white"/>
          <w:u w:val="none"/>
        </w:rPr>
        <w:t>24.05.2000 №428</w:t>
      </w:r>
      <w:r>
        <w:rPr>
          <w:rStyle w:val="Style_4_ch"/>
          <w:color w:val="000000"/>
          <w:highlight w:val="white"/>
          <w:u w:val="none"/>
        </w:rPr>
        <w:fldChar w:fldCharType="end"/>
      </w:r>
      <w:r>
        <w:t xml:space="preserve"> (в редакции </w:t>
      </w:r>
      <w:r>
        <w:rPr>
          <w:rStyle w:val="Style_3_ch"/>
          <w:b w:val="0"/>
          <w:color w:val="000000"/>
        </w:rPr>
        <w:t xml:space="preserve">Решения МгСд от </w:t>
      </w:r>
      <w:r>
        <w:rPr>
          <w:highlight w:val="white"/>
        </w:rPr>
        <w:fldChar w:fldCharType="begin"/>
      </w:r>
      <w:r>
        <w:rPr>
          <w:highlight w:val="white"/>
        </w:rPr>
        <w:instrText>HYPERLINK "https://www.magnitogorsk.ru/storage/app/media/IMUSCHESTVO_GRADOSTROITELSTVO/UAIG/OTiGP/GP%202020.pdf"</w:instrText>
      </w:r>
      <w:r>
        <w:rPr>
          <w:highlight w:val="white"/>
        </w:rPr>
        <w:fldChar w:fldCharType="separate"/>
      </w:r>
      <w:r>
        <w:rPr>
          <w:highlight w:val="white"/>
        </w:rPr>
        <w:t>29.06.2021</w:t>
      </w:r>
      <w:r>
        <w:rPr>
          <w:highlight w:val="white"/>
        </w:rPr>
        <w:fldChar w:fldCharType="end"/>
      </w:r>
      <w:r>
        <w:t xml:space="preserve"> №148);</w:t>
      </w:r>
    </w:p>
    <w:p w14:paraId="16000000">
      <w:pPr>
        <w:widowControl w:val="0"/>
        <w:ind w:firstLine="709" w:left="0"/>
        <w:jc w:val="both"/>
        <w:rPr>
          <w:rStyle w:val="Style_3_ch"/>
          <w:b w:val="0"/>
          <w:color w:val="000000"/>
        </w:rPr>
      </w:pPr>
      <w:r>
        <w:rPr>
          <w:rStyle w:val="Style_3_ch"/>
          <w:b w:val="0"/>
          <w:color w:val="000000"/>
        </w:rPr>
        <w:t>- Местных нормативов градостроительного проектирования города Магнитогорска от 31.01.2023 №7;</w:t>
      </w:r>
    </w:p>
    <w:p w14:paraId="17000000">
      <w:pPr>
        <w:widowControl w:val="0"/>
        <w:ind w:firstLine="709" w:left="0"/>
        <w:jc w:val="both"/>
        <w:rPr>
          <w:rStyle w:val="Style_3_ch"/>
          <w:b w:val="0"/>
          <w:color w:val="000000"/>
        </w:rPr>
      </w:pPr>
      <w:r>
        <w:t xml:space="preserve">- </w:t>
      </w:r>
      <w:r>
        <w:rPr>
          <w:rStyle w:val="Style_3_ch"/>
          <w:b w:val="0"/>
          <w:color w:val="000000"/>
        </w:rPr>
        <w:t xml:space="preserve">Правил землепользования и застройки города Магнитогорска </w:t>
      </w:r>
      <w:r>
        <w:rPr>
          <w:rStyle w:val="Style_4_ch"/>
          <w:color w:val="000000"/>
          <w:highlight w:val="white"/>
          <w:u w:val="none"/>
        </w:rPr>
        <w:fldChar w:fldCharType="begin"/>
      </w:r>
      <w:r>
        <w:rPr>
          <w:rStyle w:val="Style_4_ch"/>
          <w:color w:val="000000"/>
          <w:highlight w:val="white"/>
          <w:u w:val="none"/>
        </w:rPr>
        <w:instrText>HYPERLINK "https://www.magnitogorsk.ru/storage/app/media/IMUSCHESTVO_GRADOSTROITELSTVO/UAIG/OTiGP/PZZ_182__.pdf"</w:instrText>
      </w:r>
      <w:r>
        <w:rPr>
          <w:rStyle w:val="Style_4_ch"/>
          <w:color w:val="000000"/>
          <w:highlight w:val="white"/>
          <w:u w:val="none"/>
        </w:rPr>
        <w:fldChar w:fldCharType="separate"/>
      </w:r>
      <w:r>
        <w:rPr>
          <w:rStyle w:val="Style_4_ch"/>
          <w:color w:val="000000"/>
          <w:highlight w:val="white"/>
          <w:u w:val="none"/>
        </w:rPr>
        <w:t>(в редакции решения МГСД от 26.11.2024 № 164)</w:t>
      </w:r>
      <w:r>
        <w:rPr>
          <w:rStyle w:val="Style_4_ch"/>
          <w:color w:val="000000"/>
          <w:highlight w:val="white"/>
          <w:u w:val="none"/>
        </w:rPr>
        <w:fldChar w:fldCharType="end"/>
      </w:r>
      <w:r>
        <w:rPr>
          <w:rStyle w:val="Style_3_ch"/>
          <w:b w:val="0"/>
          <w:color w:val="000000"/>
        </w:rPr>
        <w:t>.</w:t>
      </w:r>
    </w:p>
    <w:p w14:paraId="18000000">
      <w:pPr>
        <w:widowControl w:val="0"/>
        <w:ind w:firstLine="709" w:left="0"/>
        <w:jc w:val="both"/>
      </w:pPr>
      <w:r>
        <w:rPr>
          <w:rStyle w:val="Style_3_ch"/>
          <w:b w:val="0"/>
          <w:color w:val="000000"/>
        </w:rPr>
        <w:t>- Региональных</w:t>
      </w:r>
      <w:r>
        <w:t xml:space="preserve"> нормативов градостроительного проектирования Челябинской области от 29.10.2020г №268 (с изменениями на 15.03.2023г).</w:t>
      </w:r>
    </w:p>
    <w:p w14:paraId="19000000">
      <w:pPr>
        <w:widowControl w:val="0"/>
        <w:ind w:firstLine="709" w:left="0"/>
        <w:jc w:val="both"/>
        <w:rPr>
          <w:rStyle w:val="Style_5_ch"/>
        </w:rPr>
      </w:pPr>
      <w:r>
        <w:rPr>
          <w:rStyle w:val="Style_3_ch"/>
          <w:b w:val="0"/>
          <w:color w:val="000000"/>
        </w:rPr>
        <w:t>-</w:t>
      </w:r>
      <w:r>
        <w:t xml:space="preserve"> </w:t>
      </w:r>
      <w:r>
        <w:rPr>
          <w:rStyle w:val="Style_5_ch"/>
        </w:rPr>
        <w:t>Постановления Правительства от 17.05.2016 года, №160 «О порядке установления</w:t>
      </w:r>
      <w:r>
        <w:rPr>
          <w:rStyle w:val="Style_5_ch"/>
        </w:rPr>
        <w:t> </w:t>
      </w:r>
      <w:r>
        <w:rPr>
          <w:rStyle w:val="Style_5_ch"/>
        </w:rPr>
        <w:t>охранных</w:t>
      </w:r>
      <w:r>
        <w:rPr>
          <w:rStyle w:val="Style_5_ch"/>
        </w:rPr>
        <w:t> </w:t>
      </w:r>
      <w:r>
        <w:rPr>
          <w:rStyle w:val="Style_5_ch"/>
        </w:rPr>
        <w:t>зон</w:t>
      </w:r>
      <w:r>
        <w:rPr>
          <w:rStyle w:val="Style_5_ch"/>
        </w:rPr>
        <w:t> </w:t>
      </w:r>
      <w:r>
        <w:rPr>
          <w:rStyle w:val="Style_5_ch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Style w:val="Style_5_ch"/>
        </w:rPr>
        <w:t> </w:t>
      </w:r>
      <w:r>
        <w:rPr>
          <w:rStyle w:val="Style_5_ch"/>
        </w:rPr>
        <w:t>зон».</w:t>
      </w:r>
    </w:p>
    <w:p w14:paraId="1A000000">
      <w:pPr>
        <w:widowControl w:val="0"/>
        <w:ind w:firstLine="709" w:left="0"/>
        <w:jc w:val="both"/>
      </w:pPr>
      <w:r>
        <w:t>- СанПиН 2.2.1/2.1.1.1200-03 «Санитарно-защитные зоны и санитарная классификация предприятий, сооружений и иных объектов»;</w:t>
      </w:r>
    </w:p>
    <w:p w14:paraId="1B000000">
      <w:pPr>
        <w:widowControl w:val="0"/>
        <w:ind w:firstLine="709" w:left="0"/>
        <w:jc w:val="both"/>
        <w:rPr>
          <w:rStyle w:val="Style_5_ch"/>
        </w:rPr>
      </w:pPr>
      <w:r>
        <w:rPr>
          <w:rStyle w:val="Style_5_ch"/>
        </w:rPr>
        <w:t xml:space="preserve">- </w:t>
      </w:r>
      <w:r>
        <w:t>Постановления Правительства РФ от 20.11.2000 N 878 (ред. от 17.05.2016) "Об утверждении Правил охраны газораспределительных сетей").</w:t>
      </w:r>
    </w:p>
    <w:p w14:paraId="1C000000">
      <w:pPr>
        <w:widowControl w:val="0"/>
        <w:ind w:firstLine="709" w:left="0"/>
        <w:jc w:val="both"/>
      </w:pPr>
      <w:r>
        <w:t>-Приказа «О т</w:t>
      </w:r>
      <w:r>
        <w:t>иповых правилах охраны коммунальных тепловых сетей» утвержденных приказом Минстроя России от 17.08.1992 № 197».</w:t>
      </w:r>
    </w:p>
    <w:p w14:paraId="1D000000">
      <w:pPr>
        <w:widowControl w:val="0"/>
        <w:ind w:firstLine="709" w:left="0"/>
        <w:jc w:val="both"/>
      </w:pPr>
      <w:r>
        <w:t xml:space="preserve">Для выполнения градостроительной документации использовались данные кадастрового плана территории (Росреестр) КПТ </w:t>
      </w:r>
      <w:r>
        <w:t>9583/024/24-01165 от 03 февраля 2024 года.</w:t>
      </w:r>
      <w:r>
        <w:t xml:space="preserve">; </w:t>
      </w:r>
    </w:p>
    <w:p w14:paraId="1E000000">
      <w:pPr>
        <w:widowControl w:val="0"/>
        <w:ind w:firstLine="709" w:left="0"/>
        <w:jc w:val="both"/>
      </w:pPr>
      <w:r>
        <w:t>Для выполнения градостроительной документации использовались данные т</w:t>
      </w:r>
      <w:r>
        <w:t>опографического плана масштаба 1:500, выполненного НПП «Землемер» в январе 2024 года</w:t>
      </w:r>
      <w:r>
        <w:t xml:space="preserve"> и соответствующего действительному состоянию местности на момент разр</w:t>
      </w:r>
      <w:r>
        <w:t>а</w:t>
      </w:r>
      <w:r>
        <w:t>ботки проекта,</w:t>
      </w:r>
      <w:r>
        <w:t xml:space="preserve"> в соответствии с системой координат, используемой для ведения Единого государственного реестра недвижимости (МСК-74). Система высот - "Балтийская".</w:t>
      </w:r>
    </w:p>
    <w:p w14:paraId="1F000000">
      <w:pPr>
        <w:widowControl w:val="0"/>
        <w:ind w:firstLine="709" w:left="0"/>
        <w:jc w:val="both"/>
      </w:pPr>
      <w:r>
        <w:t>1. Положение и особенности опорного плана проектируемой территории</w:t>
      </w:r>
    </w:p>
    <w:p w14:paraId="20000000">
      <w:pPr>
        <w:widowControl w:val="0"/>
        <w:ind w:firstLine="709" w:left="0"/>
        <w:jc w:val="both"/>
      </w:pPr>
      <w:r>
        <w:t>Территория проектирования располагается в северной части города Магнитогорска, возле железнодорожного вокзала на «Привокзальной площади» по ул. Вокзальная. Территория проектирования 2,3180 га располагается в территориальных зонах:</w:t>
      </w:r>
    </w:p>
    <w:p w14:paraId="21000000">
      <w:pPr>
        <w:widowControl w:val="0"/>
        <w:ind w:firstLine="709" w:left="0"/>
        <w:jc w:val="both"/>
      </w:pPr>
      <w:r>
        <w:t>ПК-1 «</w:t>
      </w:r>
      <w:r>
        <w:t>Зона производственно-складских объектов».</w:t>
      </w:r>
    </w:p>
    <w:p w14:paraId="22000000">
      <w:pPr>
        <w:widowControl w:val="0"/>
        <w:ind w:firstLine="709" w:left="0"/>
        <w:jc w:val="both"/>
      </w:pPr>
      <w:r>
        <w:t>ТР-1 «Зона железнодорожного транспорта»</w:t>
      </w:r>
    </w:p>
    <w:p w14:paraId="23000000">
      <w:pPr>
        <w:widowControl w:val="0"/>
        <w:ind w:firstLine="709" w:left="0"/>
        <w:jc w:val="both"/>
      </w:pPr>
      <w:r>
        <w:t>Ж-2 «Зона среднеэтажной многоквартирной жилой застройки»</w:t>
      </w:r>
    </w:p>
    <w:p w14:paraId="24000000">
      <w:pPr>
        <w:widowControl w:val="0"/>
        <w:ind w:firstLine="709" w:left="0"/>
        <w:jc w:val="both"/>
      </w:pPr>
      <w:r>
        <w:t>Р-1 «Зона зеленых насаждений общего пользования»</w:t>
      </w:r>
    </w:p>
    <w:p w14:paraId="25000000">
      <w:pPr>
        <w:widowControl w:val="0"/>
        <w:ind w:firstLine="709" w:left="0"/>
        <w:jc w:val="both"/>
        <w:rPr>
          <w:color w:val="FF0000"/>
        </w:rPr>
      </w:pPr>
      <w:r>
        <w:t>С северной стороны территории проектирования располагается зона железнодорожного транспорта; с южной, западной сторон – жилые зоны многоэтажной и среднеэтажной жилой застройки.</w:t>
      </w:r>
    </w:p>
    <w:p w14:paraId="26000000">
      <w:pPr>
        <w:widowControl w:val="0"/>
        <w:ind w:firstLine="709" w:left="0"/>
        <w:jc w:val="both"/>
        <w:rPr>
          <w:color w:val="000000"/>
        </w:rPr>
      </w:pPr>
      <w:r>
        <w:rPr>
          <w:spacing w:val="2"/>
        </w:rPr>
        <w:t>На п</w:t>
      </w:r>
      <w:r>
        <w:t>роектируемой территории располагается существующая застройка</w:t>
      </w:r>
      <w:r>
        <w:t>:</w:t>
      </w:r>
      <w:r>
        <w:rPr>
          <w:color w:val="000000"/>
        </w:rPr>
        <w:t xml:space="preserve"> нежилое здание - автостанция </w:t>
      </w:r>
    </w:p>
    <w:p w14:paraId="27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Красные линии на данной территории проектирования, действующие и не подлежат изменению.</w:t>
      </w:r>
    </w:p>
    <w:p w14:paraId="28000000">
      <w:pPr>
        <w:widowControl w:val="0"/>
        <w:ind w:firstLine="709" w:left="0"/>
        <w:jc w:val="both"/>
      </w:pPr>
      <w:r>
        <w:t>Климат</w:t>
      </w:r>
    </w:p>
    <w:p w14:paraId="29000000">
      <w:pPr>
        <w:widowControl w:val="0"/>
        <w:ind w:firstLine="709" w:left="0"/>
        <w:jc w:val="both"/>
      </w:pPr>
      <w:r>
        <w:t xml:space="preserve">Климатическая характеристика проводится по данным СНиП 23-01-99 «Строительная климатология» по м/ст. г. Верхнеуральск. </w:t>
      </w:r>
    </w:p>
    <w:p w14:paraId="2A000000">
      <w:pPr>
        <w:widowControl w:val="0"/>
        <w:ind w:firstLine="709" w:left="0"/>
        <w:jc w:val="both"/>
      </w:pPr>
      <w:r>
        <w:t>Климат территории города, расположенной в пределах восточного склона Зауралья, характеризуется значительной континентальностью и засушливостью, морозной зимой, тёплым летом и большим количеством солнечных дней.</w:t>
      </w:r>
    </w:p>
    <w:p w14:paraId="2B000000">
      <w:pPr>
        <w:widowControl w:val="0"/>
        <w:ind w:firstLine="709" w:left="0"/>
        <w:jc w:val="both"/>
      </w:pPr>
      <w:r>
        <w:t xml:space="preserve"> По строительно-климатическому районированию РФ территория города относится к строительно-климатической зоне </w:t>
      </w:r>
      <w:r>
        <w:t>IB</w:t>
      </w:r>
      <w:r>
        <w:t>. Расчётная температура для проектирования отопления - 38</w:t>
      </w:r>
      <w:r>
        <w:rPr>
          <w:vertAlign w:val="superscript"/>
        </w:rPr>
        <w:t>0</w:t>
      </w:r>
      <w:r>
        <w:t>С (температура самой холодной пятидневки обеспеченностью 0,92). Продолжительность отопительного периода 218 дней.</w:t>
      </w:r>
    </w:p>
    <w:p w14:paraId="2C000000">
      <w:pPr>
        <w:widowControl w:val="0"/>
        <w:ind w:firstLine="709" w:left="0"/>
        <w:jc w:val="both"/>
      </w:pPr>
      <w:r>
        <w:t>Значения климатических параметров:</w:t>
      </w:r>
    </w:p>
    <w:p w14:paraId="2D000000">
      <w:pPr>
        <w:widowControl w:val="0"/>
        <w:ind w:firstLine="709" w:left="0"/>
        <w:jc w:val="both"/>
      </w:pPr>
      <w:r>
        <w:t>- суммарная солнечная радиация (прямая и рассеянная) за год на горизонтальную поверхность при безоблачном небе – 6092МДж/м</w:t>
      </w:r>
      <w:r>
        <w:rPr>
          <w:vertAlign w:val="superscript"/>
        </w:rPr>
        <w:t>2</w:t>
      </w:r>
      <w:r>
        <w:t>;</w:t>
      </w:r>
    </w:p>
    <w:p w14:paraId="2E000000">
      <w:pPr>
        <w:widowControl w:val="0"/>
        <w:ind w:firstLine="709" w:left="0"/>
        <w:jc w:val="both"/>
        <w:rPr>
          <w:spacing w:val="1"/>
        </w:rPr>
      </w:pPr>
      <w:r>
        <w:t xml:space="preserve">- </w:t>
      </w:r>
      <w:r>
        <w:rPr>
          <w:spacing w:val="1"/>
        </w:rPr>
        <w:t xml:space="preserve">температура воздуха - среднегодовая температура 1,2 </w:t>
      </w:r>
      <w:r>
        <w:rPr>
          <w:spacing w:val="1"/>
          <w:vertAlign w:val="superscript"/>
        </w:rPr>
        <w:t>0</w:t>
      </w:r>
      <w:r>
        <w:rPr>
          <w:spacing w:val="1"/>
        </w:rPr>
        <w:t xml:space="preserve">С, среднемесячные </w:t>
      </w:r>
      <w:r>
        <w:t xml:space="preserve">температуры - января -16,9 </w:t>
      </w:r>
      <w:r>
        <w:rPr>
          <w:vertAlign w:val="superscript"/>
        </w:rPr>
        <w:t>0</w:t>
      </w:r>
      <w:r>
        <w:t xml:space="preserve">С, июля - +18.3 </w:t>
      </w:r>
      <w:r>
        <w:rPr>
          <w:vertAlign w:val="superscript"/>
        </w:rPr>
        <w:t>0</w:t>
      </w:r>
      <w:r>
        <w:t>С, абсолютные температуры воздуха - мини</w:t>
      </w:r>
      <w:r>
        <w:rPr>
          <w:spacing w:val="1"/>
        </w:rPr>
        <w:t xml:space="preserve">мальная - - 48 </w:t>
      </w:r>
      <w:r>
        <w:rPr>
          <w:spacing w:val="1"/>
          <w:vertAlign w:val="superscript"/>
        </w:rPr>
        <w:t>0</w:t>
      </w:r>
      <w:r>
        <w:rPr>
          <w:spacing w:val="1"/>
        </w:rPr>
        <w:t xml:space="preserve">С, максимальная - + 40 </w:t>
      </w:r>
      <w:r>
        <w:rPr>
          <w:spacing w:val="1"/>
          <w:vertAlign w:val="superscript"/>
        </w:rPr>
        <w:t>0</w:t>
      </w:r>
      <w:r>
        <w:rPr>
          <w:spacing w:val="1"/>
        </w:rPr>
        <w:t>С;</w:t>
      </w:r>
    </w:p>
    <w:p w14:paraId="2F000000">
      <w:pPr>
        <w:widowControl w:val="0"/>
        <w:ind w:firstLine="709" w:left="0"/>
        <w:jc w:val="both"/>
      </w:pPr>
      <w:r>
        <w:t xml:space="preserve">- среднее число дней с температурой воздуха менее -15 </w:t>
      </w:r>
      <w:r>
        <w:rPr>
          <w:vertAlign w:val="superscript"/>
        </w:rPr>
        <w:t>0</w:t>
      </w:r>
      <w:r>
        <w:t xml:space="preserve">С - 60дней; </w:t>
      </w:r>
    </w:p>
    <w:p w14:paraId="30000000">
      <w:pPr>
        <w:widowControl w:val="0"/>
        <w:ind w:firstLine="709" w:left="0"/>
        <w:jc w:val="both"/>
        <w:rPr>
          <w:spacing w:val="3"/>
        </w:rPr>
      </w:pPr>
      <w:r>
        <w:rPr>
          <w:spacing w:val="3"/>
        </w:rPr>
        <w:t>- продолжительность безморозного периода - 160 дней.</w:t>
      </w:r>
    </w:p>
    <w:p w14:paraId="31000000">
      <w:pPr>
        <w:widowControl w:val="0"/>
        <w:ind w:firstLine="709" w:left="0"/>
        <w:jc w:val="both"/>
      </w:pPr>
      <w:r>
        <w:t>Влажностный режим:</w:t>
      </w:r>
    </w:p>
    <w:p w14:paraId="32000000">
      <w:pPr>
        <w:widowControl w:val="0"/>
        <w:ind w:firstLine="709" w:left="0"/>
        <w:jc w:val="both"/>
        <w:rPr>
          <w:spacing w:val="1"/>
        </w:rPr>
      </w:pPr>
      <w:r>
        <w:rPr>
          <w:spacing w:val="1"/>
        </w:rPr>
        <w:t>Территория недостаточно увлажнена.</w:t>
      </w:r>
    </w:p>
    <w:p w14:paraId="33000000">
      <w:pPr>
        <w:widowControl w:val="0"/>
        <w:ind w:firstLine="709" w:left="0"/>
        <w:jc w:val="both"/>
        <w:rPr>
          <w:spacing w:val="-2"/>
        </w:rPr>
      </w:pPr>
      <w:r>
        <w:t xml:space="preserve">- </w:t>
      </w:r>
      <w:r>
        <w:rPr>
          <w:spacing w:val="-2"/>
        </w:rPr>
        <w:t>среднегодовая относительная влажность - 72%;</w:t>
      </w:r>
    </w:p>
    <w:p w14:paraId="34000000">
      <w:pPr>
        <w:widowControl w:val="0"/>
        <w:ind w:firstLine="709" w:left="0"/>
        <w:jc w:val="both"/>
        <w:rPr>
          <w:spacing w:val="1"/>
        </w:rPr>
      </w:pPr>
      <w:r>
        <w:t xml:space="preserve">- число засушливых дней с относительной влажностью менее 30% - в среднем </w:t>
      </w:r>
      <w:r>
        <w:rPr>
          <w:spacing w:val="1"/>
        </w:rPr>
        <w:t>за год 43 с максимумом в мае - 63дня;</w:t>
      </w:r>
    </w:p>
    <w:p w14:paraId="35000000">
      <w:pPr>
        <w:widowControl w:val="0"/>
        <w:ind w:firstLine="709" w:left="0"/>
        <w:jc w:val="both"/>
        <w:rPr>
          <w:spacing w:val="4"/>
        </w:rPr>
      </w:pPr>
      <w:r>
        <w:t xml:space="preserve">- </w:t>
      </w:r>
      <w:r>
        <w:rPr>
          <w:spacing w:val="2"/>
        </w:rPr>
        <w:t xml:space="preserve">годовое количество осадков - 439 мм, за теплый период - 322 мм, холодный </w:t>
      </w:r>
      <w:r>
        <w:rPr>
          <w:spacing w:val="4"/>
        </w:rPr>
        <w:t>- 115мм;</w:t>
      </w:r>
    </w:p>
    <w:p w14:paraId="36000000">
      <w:pPr>
        <w:widowControl w:val="0"/>
        <w:ind w:firstLine="709" w:left="0"/>
        <w:jc w:val="both"/>
        <w:rPr>
          <w:spacing w:val="1"/>
        </w:rPr>
      </w:pPr>
      <w:r>
        <w:t xml:space="preserve">- </w:t>
      </w:r>
      <w:r>
        <w:rPr>
          <w:spacing w:val="1"/>
        </w:rPr>
        <w:t>средняя высота снежного покрова - 30-50см;</w:t>
      </w:r>
    </w:p>
    <w:p w14:paraId="37000000">
      <w:pPr>
        <w:pStyle w:val="Style_6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проектирования отсутствуют редкие исчезающие виды растений и животных. В ходе строительства не производится вырубка зелёных насаждений. Территория проектирования достаточно освоена, в связи с чем влияние на животный и растительный мир отсутствует. В виду отсутствия на рассматриваемой территории факторов, влияющих на животный и растительный мир, специальные мероприятия по их охране не предусматриваются. </w:t>
      </w:r>
    </w:p>
    <w:p w14:paraId="38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Зоны с особыми условиями использования территории</w:t>
      </w:r>
    </w:p>
    <w:p w14:paraId="39000000">
      <w:pPr>
        <w:widowControl w:val="0"/>
        <w:ind w:firstLine="709" w:left="0"/>
        <w:jc w:val="both"/>
      </w:pPr>
      <w:r>
        <w:t>Охранные зоны инженерных сетей:</w:t>
      </w:r>
    </w:p>
    <w:p w14:paraId="3A000000">
      <w:pPr>
        <w:widowControl w:val="0"/>
        <w:ind w:firstLine="709" w:left="0"/>
        <w:jc w:val="both"/>
      </w:pPr>
      <w:r>
        <w:rPr>
          <w:rStyle w:val="Style_5_ch"/>
        </w:rPr>
        <w:t xml:space="preserve">- от воздушной линии электропередач: </w:t>
      </w:r>
      <w:r>
        <w:t xml:space="preserve">ВЛ 0,4кВ - 2м в каждую сторону от крайнего провода </w:t>
      </w:r>
      <w:r>
        <w:rPr>
          <w:rStyle w:val="Style_5_ch"/>
        </w:rPr>
        <w:t>(согласно Постановлению Правительства от 17.05.2016 года, №160 «О порядке установления</w:t>
      </w:r>
      <w:r>
        <w:rPr>
          <w:rStyle w:val="Style_5_ch"/>
        </w:rPr>
        <w:t> </w:t>
      </w:r>
      <w:r>
        <w:rPr>
          <w:rStyle w:val="Style_5_ch"/>
        </w:rPr>
        <w:t>охранных</w:t>
      </w:r>
      <w:r>
        <w:rPr>
          <w:rStyle w:val="Style_5_ch"/>
        </w:rPr>
        <w:t> </w:t>
      </w:r>
      <w:r>
        <w:rPr>
          <w:rStyle w:val="Style_5_ch"/>
        </w:rPr>
        <w:t>зон</w:t>
      </w:r>
      <w:r>
        <w:rPr>
          <w:rStyle w:val="Style_5_ch"/>
        </w:rPr>
        <w:t> </w:t>
      </w:r>
      <w:r>
        <w:rPr>
          <w:rStyle w:val="Style_5_ch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Style w:val="Style_5_ch"/>
        </w:rPr>
        <w:t> </w:t>
      </w:r>
      <w:r>
        <w:rPr>
          <w:rStyle w:val="Style_5_ch"/>
        </w:rPr>
        <w:t>зон»)</w:t>
      </w:r>
      <w:r>
        <w:t>;</w:t>
      </w:r>
    </w:p>
    <w:p w14:paraId="3B000000">
      <w:pPr>
        <w:widowControl w:val="0"/>
        <w:ind w:firstLine="709" w:left="0"/>
        <w:jc w:val="both"/>
      </w:pPr>
      <w:r>
        <w:t xml:space="preserve">- от КТП 0,4/10кВ – радиусом 10м </w:t>
      </w:r>
      <w:r>
        <w:rPr>
          <w:rStyle w:val="Style_5_ch"/>
        </w:rPr>
        <w:t>(согласно Постановлению Правительства от 17.05.2016 года, №160 «О порядке установления</w:t>
      </w:r>
      <w:r>
        <w:rPr>
          <w:rStyle w:val="Style_5_ch"/>
        </w:rPr>
        <w:t> </w:t>
      </w:r>
      <w:r>
        <w:rPr>
          <w:rStyle w:val="Style_5_ch"/>
        </w:rPr>
        <w:t>охранных</w:t>
      </w:r>
      <w:r>
        <w:rPr>
          <w:rStyle w:val="Style_5_ch"/>
        </w:rPr>
        <w:t> </w:t>
      </w:r>
      <w:r>
        <w:rPr>
          <w:rStyle w:val="Style_5_ch"/>
        </w:rPr>
        <w:t>зон</w:t>
      </w:r>
      <w:r>
        <w:rPr>
          <w:rStyle w:val="Style_5_ch"/>
        </w:rPr>
        <w:t> </w:t>
      </w:r>
      <w:r>
        <w:rPr>
          <w:rStyle w:val="Style_5_ch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Style w:val="Style_5_ch"/>
        </w:rPr>
        <w:t> </w:t>
      </w:r>
      <w:r>
        <w:rPr>
          <w:rStyle w:val="Style_5_ch"/>
        </w:rPr>
        <w:t>зон»)</w:t>
      </w:r>
      <w:r>
        <w:t>;</w:t>
      </w:r>
    </w:p>
    <w:p w14:paraId="3C000000">
      <w:pPr>
        <w:widowControl w:val="0"/>
        <w:ind w:firstLine="709" w:left="0"/>
        <w:jc w:val="both"/>
      </w:pPr>
      <w:r>
        <w:t xml:space="preserve">- от воздушной линии 10кВ - 10м в каждую сторону от крайнего провода </w:t>
      </w:r>
      <w:r>
        <w:rPr>
          <w:rStyle w:val="Style_5_ch"/>
        </w:rPr>
        <w:t>(согласно Постановлению Правительства от 17.05.2016 года, №160 «О порядке установления</w:t>
      </w:r>
      <w:r>
        <w:rPr>
          <w:rStyle w:val="Style_5_ch"/>
        </w:rPr>
        <w:t> </w:t>
      </w:r>
      <w:r>
        <w:rPr>
          <w:rStyle w:val="Style_5_ch"/>
        </w:rPr>
        <w:t>охранных</w:t>
      </w:r>
      <w:r>
        <w:rPr>
          <w:rStyle w:val="Style_5_ch"/>
        </w:rPr>
        <w:t> </w:t>
      </w:r>
      <w:r>
        <w:rPr>
          <w:rStyle w:val="Style_5_ch"/>
        </w:rPr>
        <w:t>зон</w:t>
      </w:r>
      <w:r>
        <w:rPr>
          <w:rStyle w:val="Style_5_ch"/>
        </w:rPr>
        <w:t> </w:t>
      </w:r>
      <w:r>
        <w:rPr>
          <w:rStyle w:val="Style_5_ch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Style w:val="Style_5_ch"/>
        </w:rPr>
        <w:t> </w:t>
      </w:r>
      <w:r>
        <w:rPr>
          <w:rStyle w:val="Style_5_ch"/>
        </w:rPr>
        <w:t>зон»)</w:t>
      </w:r>
      <w:r>
        <w:t>;</w:t>
      </w:r>
    </w:p>
    <w:p w14:paraId="3D000000">
      <w:pPr>
        <w:widowControl w:val="0"/>
        <w:ind w:firstLine="709" w:left="0"/>
        <w:jc w:val="both"/>
      </w:pPr>
      <w:r>
        <w:t xml:space="preserve">- от подземного кабеля 0,4кВ; 10кВ - 1м в каждую сторону от крайнего провода </w:t>
      </w:r>
      <w:r>
        <w:rPr>
          <w:rStyle w:val="Style_5_ch"/>
        </w:rPr>
        <w:t>(согласно Постановлению Правительства от 17.05.2016 года, №160 «О порядке установления</w:t>
      </w:r>
      <w:r>
        <w:rPr>
          <w:rStyle w:val="Style_5_ch"/>
        </w:rPr>
        <w:t> </w:t>
      </w:r>
      <w:r>
        <w:rPr>
          <w:rStyle w:val="Style_5_ch"/>
        </w:rPr>
        <w:t>охранных</w:t>
      </w:r>
      <w:r>
        <w:rPr>
          <w:rStyle w:val="Style_5_ch"/>
        </w:rPr>
        <w:t> </w:t>
      </w:r>
      <w:r>
        <w:rPr>
          <w:rStyle w:val="Style_5_ch"/>
        </w:rPr>
        <w:t>зон</w:t>
      </w:r>
      <w:r>
        <w:rPr>
          <w:rStyle w:val="Style_5_ch"/>
        </w:rPr>
        <w:t> </w:t>
      </w:r>
      <w:r>
        <w:rPr>
          <w:rStyle w:val="Style_5_ch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Style w:val="Style_5_ch"/>
        </w:rPr>
        <w:t> </w:t>
      </w:r>
      <w:r>
        <w:rPr>
          <w:rStyle w:val="Style_5_ch"/>
        </w:rPr>
        <w:t>зон»)</w:t>
      </w:r>
      <w:r>
        <w:t>.</w:t>
      </w:r>
    </w:p>
    <w:p w14:paraId="3E000000">
      <w:pPr>
        <w:widowControl w:val="0"/>
        <w:ind w:firstLine="709" w:left="0"/>
        <w:jc w:val="both"/>
      </w:pPr>
      <w:r>
        <w:t xml:space="preserve">- для существующей подземной и наземной тепловой сети </w:t>
      </w:r>
      <w:r>
        <w:t xml:space="preserve">устанавливается охранная зона шириной </w:t>
      </w:r>
      <w:r>
        <w:rPr>
          <w:color w:val="333333"/>
          <w:highlight w:val="white"/>
        </w:rPr>
        <w:t>не менее 3 метров в каждую сторону, считая от края строительных конструкций тепловых </w:t>
      </w:r>
      <w:r>
        <w:rPr>
          <w:color w:val="333333"/>
          <w:highlight w:val="white"/>
        </w:rPr>
        <w:t xml:space="preserve">сетей (согласно </w:t>
      </w:r>
      <w:r>
        <w:t>Приказ Минстроя РФ от 17.08.1992 N 197 "О типовых правилах охраны коммунальных тепловых сетей").</w:t>
      </w:r>
    </w:p>
    <w:p w14:paraId="3F000000">
      <w:pPr>
        <w:widowControl w:val="0"/>
        <w:ind w:firstLine="709" w:left="0"/>
        <w:jc w:val="both"/>
      </w:pPr>
      <w:r>
        <w:t xml:space="preserve">- для </w:t>
      </w:r>
      <w:r>
        <w:rPr>
          <w:color w:val="000000"/>
        </w:rPr>
        <w:t xml:space="preserve">подземного кабеля сетей связи устанавливается охранная зона шириной 1 м от края кабеля </w:t>
      </w:r>
      <w:r>
        <w:rPr>
          <w:spacing w:val="2"/>
        </w:rPr>
        <w:t>(согласно СП 42.13330.2016 «Градостроительство»);</w:t>
      </w:r>
    </w:p>
    <w:p w14:paraId="40000000">
      <w:pPr>
        <w:pStyle w:val="Style_7"/>
        <w:widowControl w:val="0"/>
        <w:spacing w:before="0"/>
        <w:ind w:firstLine="709" w:left="0" w:right="0"/>
        <w:rPr>
          <w:rStyle w:val="Style_5_ch"/>
          <w:sz w:val="24"/>
        </w:rPr>
      </w:pPr>
      <w:r>
        <w:rPr>
          <w:rStyle w:val="Style_5_ch"/>
          <w:sz w:val="24"/>
        </w:rPr>
        <w:t>Отступы от фундаментов зданий и сооружений:</w:t>
      </w:r>
    </w:p>
    <w:p w14:paraId="41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до водопровода – 5 м до фундаментов зданий и сооружений (согласно СП 42.13330.2016 «Градостроительство»);</w:t>
      </w:r>
    </w:p>
    <w:p w14:paraId="42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до канализации – 3 м до фундаментов зданий и сооружений и 1,5 м до фундаментов ограждений (согласно СП 42.13330.2016 «Градостроительство»).</w:t>
      </w:r>
    </w:p>
    <w:p w14:paraId="43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до ливневой канализации – 3 м до фундаментов зданий и сооружений и 1,5 м до фундаментов ограждений (согласно СП 42.13330.2016 «Градостроительство»).</w:t>
      </w:r>
    </w:p>
    <w:p w14:paraId="44000000">
      <w:pPr>
        <w:widowControl w:val="0"/>
        <w:ind w:firstLine="709" w:left="0"/>
        <w:jc w:val="both"/>
      </w:pPr>
      <w:r>
        <w:t>Охранные зоны объектов культурного наследия</w:t>
      </w:r>
    </w:p>
    <w:p w14:paraId="45000000">
      <w:pPr>
        <w:widowControl w:val="0"/>
        <w:ind w:firstLine="709" w:left="0"/>
        <w:jc w:val="both"/>
      </w:pPr>
      <w:r>
        <w:t>- В границах проектирования расположена охранная зона объекта культурного наследия федерального значения «Памятник «Металлург» по адресу: г. Магнитогорск, Привокзальная пл. (напротив здания вокзала по ул. Вокзальной, 39). Охранная зона утверждена постановлением Правительства Челябинской области от 03.04.2023 г. № 210-П в устанавливаемых координатах (см. приложение).</w:t>
      </w:r>
    </w:p>
    <w:p w14:paraId="46000000">
      <w:pPr>
        <w:widowControl w:val="0"/>
        <w:ind w:firstLine="709" w:left="0"/>
        <w:jc w:val="both"/>
        <w:rPr>
          <w:spacing w:val="2"/>
        </w:rPr>
      </w:pPr>
      <w:r>
        <w:t>- Вблизи с границами проектирования расположен объект культурного наследия регионального значения «Памятник «Паровоз» по адресу: г. Магнитогорск, Приво</w:t>
      </w:r>
      <w:r>
        <w:t xml:space="preserve">кзальная площадь. Защитная зона </w:t>
      </w:r>
      <w:r>
        <w:t>устанавливается на расстоянии 100 метров от внешних границ территории памятника.</w:t>
      </w:r>
    </w:p>
    <w:p w14:paraId="47000000">
      <w:pPr>
        <w:widowControl w:val="0"/>
        <w:ind w:firstLine="709" w:left="0"/>
        <w:jc w:val="both"/>
      </w:pPr>
      <w:r>
        <w:t>В Государственном комитете не имеется данных об отсутствии на рассматриваемой территории объектов, обладающих признаками объекта культурного наследия. В соответствии с пунктом 56 статьи 26 Федерального закона от 03.08.2018 г. № 342-ФЗ «О внесении изменений в Градостроительный кодекс Российской Федерации и отдельные законодательные акты Российской Федерации» земли, подлежащие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работ, в случае, если орган охраны объектов культурного наследия не имеет данных об отсутствии на указанных землях объектов культурного наследия, включенных в реестр, выявленных объектов культурного наследия либо объектов, обладающих признаками объекта культурного наследия, являются объектом историко-культурной экспертизы. Особенности порядка определения наличия или отсутствия объектов, обладающих признаками объекта культурного наследия, на территориях, подлежащих воздействию изыскательных, земляных, строительных, мелиоративных, хозяйственных работ, указанных в статье 30 Федерального закона от 25.06.2002 г. № 73-ФЗ «Об объектах культурного наследия (памятниках истории и культуры) народов Российской Федерации» (далее – Закон № 73-ФЗ) работ по использованию лесов и иных работ установлены постановлением Правительства Российской Федерации от 30.12.2023 г. № 2418. Также на основании п. 3 ст. 36 Закона № 73-ФЗ строительные и иные работы на земельном участке, непосредственно связанном с земельным участком в границах территории объекта культурного наследия, проводятся при наличии в проектной документации разделов об обеспечении сохранности указанного объекта культурного наследия или проекта обеспечения сохранности указанного объекта культурного наследия, включающих оценку воздействия проводимых работ на указанный объект культурного наследия, согласованных с областным органом охраны объектов культурного наследия.</w:t>
      </w:r>
    </w:p>
    <w:p w14:paraId="48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2. Обоснование проектных архитектурно-планировочных решений</w:t>
      </w:r>
    </w:p>
    <w:p w14:paraId="49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Красные линии ул. Вокзальная</w:t>
      </w:r>
      <w:r>
        <w:rPr>
          <w:color w:val="000000"/>
        </w:rPr>
        <w:t xml:space="preserve"> на данной территории проектирования, действующие и не подлежат изменению.</w:t>
      </w:r>
    </w:p>
    <w:p w14:paraId="4A000000">
      <w:pPr>
        <w:widowControl w:val="0"/>
        <w:ind w:firstLine="709" w:left="0"/>
        <w:jc w:val="both"/>
        <w:rPr>
          <w:shd w:fill="F8F9FA" w:val="clear"/>
        </w:rPr>
      </w:pPr>
      <w:r>
        <w:rPr>
          <w:shd w:fill="F8F9FA" w:val="clear"/>
        </w:rPr>
        <w:t>Линии регулирования застройки устанавливаются на расстоянии 6м от красных линий.</w:t>
      </w:r>
    </w:p>
    <w:p w14:paraId="4B000000">
      <w:pPr>
        <w:widowControl w:val="0"/>
        <w:ind w:firstLine="709" w:left="0"/>
        <w:jc w:val="both"/>
        <w:rPr>
          <w:color w:val="000000"/>
        </w:rPr>
      </w:pPr>
      <w:r>
        <w:t>Проектом планировки территории планируется</w:t>
      </w:r>
      <w:r>
        <w:rPr>
          <w:color w:val="000000"/>
        </w:rPr>
        <w:t xml:space="preserve"> изъятие земельного участка с кадастровым номером 74:33:0123003:95 с последующим демонтажем объекта капитального строительства "нежилого здания - автостанция" с кадастровым номером 74:33:0123003:1755 для размещения на данном земельном участке объекта не капитального строительства (сооружения) "Электрозарядная станция для электробусов". </w:t>
      </w:r>
    </w:p>
    <w:p w14:paraId="4C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Общая площадь нежилого здания – автостанция, подлежащая демонтажу: 285.7 кв.м; площадь застройки: 300 кв.м; этажность: 1 этаж</w:t>
      </w:r>
    </w:p>
    <w:p w14:paraId="4D000000">
      <w:pPr>
        <w:widowControl w:val="0"/>
        <w:ind w:firstLine="709" w:left="0"/>
        <w:jc w:val="both"/>
        <w:rPr>
          <w:color w:val="000000"/>
        </w:rPr>
      </w:pPr>
      <w:r>
        <w:t xml:space="preserve">Для размещения </w:t>
      </w:r>
      <w:r>
        <w:rPr>
          <w:color w:val="000000"/>
        </w:rPr>
        <w:t>Электрозарядной станции на земельном участке с кадастровым номером 74:33:0123003:95 предусматриваются подъездные и разворотные площадки для пассажирского транспорта – электробусов.</w:t>
      </w:r>
    </w:p>
    <w:p w14:paraId="4E000000">
      <w:pPr>
        <w:widowControl w:val="0"/>
        <w:ind w:firstLine="709" w:left="0"/>
        <w:jc w:val="both"/>
      </w:pPr>
      <w:r>
        <w:t>На территории проектирования после демонтажа существующего здания не располагаются объекты капитального строительства и другие здания.</w:t>
      </w:r>
    </w:p>
    <w:p w14:paraId="4F000000">
      <w:pPr>
        <w:widowControl w:val="0"/>
        <w:ind/>
        <w:jc w:val="both"/>
      </w:pPr>
      <w:r>
        <w:t>Таблица 2.2 – Ведомость существующих зданий и сооружений и земельных участков.</w:t>
      </w:r>
    </w:p>
    <w:p w14:paraId="50000000">
      <w:pPr>
        <w:widowControl w:val="0"/>
        <w:ind/>
        <w:jc w:val="both"/>
      </w:pPr>
      <w:r>
        <w:drawing>
          <wp:inline>
            <wp:extent cx="6092317" cy="2817368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6092317" cy="2817368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1000000">
      <w:pPr>
        <w:widowControl w:val="0"/>
        <w:ind/>
        <w:jc w:val="both"/>
      </w:pPr>
    </w:p>
    <w:p w14:paraId="52000000">
      <w:pPr>
        <w:widowControl w:val="0"/>
        <w:ind/>
        <w:jc w:val="both"/>
      </w:pPr>
    </w:p>
    <w:p w14:paraId="53000000">
      <w:pPr>
        <w:widowControl w:val="0"/>
        <w:ind/>
        <w:jc w:val="both"/>
      </w:pPr>
    </w:p>
    <w:p w14:paraId="54000000">
      <w:pPr>
        <w:widowControl w:val="0"/>
        <w:ind/>
        <w:jc w:val="both"/>
      </w:pPr>
    </w:p>
    <w:p w14:paraId="55000000">
      <w:pPr>
        <w:widowControl w:val="0"/>
        <w:ind/>
        <w:jc w:val="both"/>
      </w:pPr>
    </w:p>
    <w:p w14:paraId="56000000">
      <w:pPr>
        <w:widowControl w:val="0"/>
        <w:ind/>
        <w:jc w:val="both"/>
      </w:pPr>
      <w:r>
        <w:t>Таблица 2.3 – Ведомость проектируемых сооружений.</w:t>
      </w:r>
    </w:p>
    <w:p w14:paraId="57000000">
      <w:pPr>
        <w:widowControl w:val="0"/>
        <w:ind/>
        <w:jc w:val="both"/>
      </w:pPr>
      <w:r>
        <w:drawing>
          <wp:inline>
            <wp:extent cx="6079490" cy="1038606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6079490" cy="1038606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8000000">
      <w:pPr>
        <w:widowControl w:val="0"/>
        <w:tabs>
          <w:tab w:leader="none" w:pos="426" w:val="left"/>
        </w:tabs>
        <w:ind w:firstLine="709" w:left="0"/>
        <w:jc w:val="both"/>
      </w:pPr>
      <w:r>
        <w:t>Примечание:</w:t>
      </w:r>
    </w:p>
    <w:p w14:paraId="59000000">
      <w:pPr>
        <w:widowControl w:val="0"/>
        <w:tabs>
          <w:tab w:leader="none" w:pos="426" w:val="left"/>
        </w:tabs>
        <w:ind w:firstLine="709" w:left="0"/>
        <w:jc w:val="both"/>
      </w:pPr>
      <w:r>
        <w:rPr>
          <w:color w:val="000000"/>
        </w:rPr>
        <w:t>1 - Проектом планировки территории производится смена вида разрешенного использования земельного участка.</w:t>
      </w:r>
    </w:p>
    <w:p w14:paraId="5A000000">
      <w:pPr>
        <w:widowControl w:val="0"/>
        <w:tabs>
          <w:tab w:leader="none" w:pos="426" w:val="left"/>
        </w:tabs>
        <w:ind w:firstLine="709" w:left="0"/>
        <w:jc w:val="both"/>
      </w:pPr>
      <w:r>
        <w:rPr>
          <w:color w:val="000000"/>
        </w:rPr>
        <w:t xml:space="preserve">2 - </w:t>
      </w:r>
      <w:r>
        <w:rPr>
          <w:color w:val="000000"/>
        </w:rPr>
        <w:t>Предусматривается</w:t>
      </w:r>
      <w:r>
        <w:rPr>
          <w:color w:val="000000"/>
        </w:rPr>
        <w:t xml:space="preserve"> демонтаж объекта капитального строительства "нежилого здания - автостанция" (Общая площадь:</w:t>
      </w:r>
      <w:r>
        <w:rPr>
          <w:color w:val="000000"/>
        </w:rPr>
        <w:tab/>
      </w:r>
      <w:r>
        <w:rPr>
          <w:color w:val="000000"/>
        </w:rPr>
        <w:t>285.7 кв.м; площадь застройки: 300 кв.м; этажность: 1 этаж) с кадастровым номером 74:33:0123003:1755 со снятием границ кадастрового учета объекта капитального строительства из сведений ЕГРН.</w:t>
      </w:r>
    </w:p>
    <w:p w14:paraId="5B000000">
      <w:pPr>
        <w:widowControl w:val="0"/>
        <w:tabs>
          <w:tab w:leader="none" w:pos="426" w:val="left"/>
        </w:tabs>
        <w:ind w:firstLine="709" w:left="0"/>
        <w:jc w:val="both"/>
      </w:pPr>
      <w:r>
        <w:t>Благоустройство и озеленение территории:</w:t>
      </w:r>
    </w:p>
    <w:p w14:paraId="5C000000">
      <w:pPr>
        <w:widowControl w:val="0"/>
        <w:tabs>
          <w:tab w:leader="none" w:pos="426" w:val="left"/>
        </w:tabs>
        <w:ind w:firstLine="709" w:left="0"/>
        <w:jc w:val="both"/>
      </w:pPr>
      <w:r>
        <w:t>На проектируемой территории предусматривается озеленение</w:t>
      </w:r>
      <w:r>
        <w:t>, на перепадах рельефа предусмотрены пандусы для удобства передвижения МГН в соответствии с СП 59.13330.2020 «Доступность зданий и сооружений для маломобильных групп населения», организованы пешеходные тротуары.</w:t>
      </w:r>
    </w:p>
    <w:p w14:paraId="5D000000">
      <w:pPr>
        <w:widowControl w:val="0"/>
        <w:tabs>
          <w:tab w:leader="none" w:pos="426" w:val="left"/>
        </w:tabs>
        <w:ind w:firstLine="709" w:left="0"/>
        <w:jc w:val="both"/>
      </w:pPr>
      <w:r>
        <w:t>3. Функциональное и правовое зонирование</w:t>
      </w:r>
    </w:p>
    <w:p w14:paraId="5E000000">
      <w:pPr>
        <w:widowControl w:val="0"/>
        <w:tabs>
          <w:tab w:leader="none" w:pos="426" w:val="left"/>
        </w:tabs>
        <w:ind w:firstLine="709" w:left="0"/>
        <w:jc w:val="both"/>
      </w:pPr>
      <w:r>
        <w:t>Правила землепользования и застройки города Магнитогорска разработаны в соответствии с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законодательством Челябинской области, Уставом города Магнитогорска, иными нормативными правовыми актами Магнитогорского городского Собрания депутатов и главы города.</w:t>
      </w:r>
    </w:p>
    <w:p w14:paraId="5F000000">
      <w:pPr>
        <w:widowControl w:val="0"/>
        <w:tabs>
          <w:tab w:leader="none" w:pos="426" w:val="left"/>
        </w:tabs>
        <w:ind w:firstLine="709" w:left="0"/>
        <w:jc w:val="both"/>
      </w:pPr>
      <w:r>
        <w:t>Правила разработаны в соответствии с Генеральным планом города Магнитогорска. Правила являются документом градостроительного зонирования города    Магнитогорска – разделения территории города на зоны с установлением   для каждой из них градостроительного регламента.</w:t>
      </w:r>
    </w:p>
    <w:p w14:paraId="60000000">
      <w:pPr>
        <w:widowControl w:val="0"/>
        <w:tabs>
          <w:tab w:leader="none" w:pos="426" w:val="left"/>
        </w:tabs>
        <w:ind w:firstLine="709" w:left="0"/>
        <w:jc w:val="both"/>
      </w:pPr>
      <w:r>
        <w:t>4. Сеть улиц и дорог</w:t>
      </w:r>
    </w:p>
    <w:p w14:paraId="61000000">
      <w:pPr>
        <w:widowControl w:val="0"/>
        <w:tabs>
          <w:tab w:leader="none" w:pos="426" w:val="left"/>
        </w:tabs>
        <w:ind w:firstLine="709" w:left="0"/>
        <w:jc w:val="both"/>
      </w:pPr>
      <w:r>
        <w:t>В проекте планировки предусмотрена единая система транспорта и улично-дорожной сети в увязке с прилегающими территориями, обеспечивающая удобные, быстрые и безопасные транспортные связи со всеми объектами, расположенными на территории.</w:t>
      </w:r>
    </w:p>
    <w:p w14:paraId="62000000">
      <w:pPr>
        <w:widowControl w:val="0"/>
        <w:tabs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 xml:space="preserve">Привокзальная площадь г. Магнитогорска располагается на пересечении ул. Вокзальная, пр. Карла Маркса, пр. Ленина и является активным транспортным ядром города. Площадь служит для остановки городского пассажирского транспорта и автобусной станцией маршрутов дальнего и пригородного следования. </w:t>
      </w:r>
    </w:p>
    <w:p w14:paraId="63000000">
      <w:pPr>
        <w:widowControl w:val="0"/>
        <w:tabs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Красные линии на данной территории проектирования, действующие и не подлежат изменению. Поперечные профили, существующие без изменений.</w:t>
      </w:r>
    </w:p>
    <w:p w14:paraId="64000000">
      <w:pPr>
        <w:widowControl w:val="0"/>
        <w:tabs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 xml:space="preserve">Проектом планировки предлагается к размещению </w:t>
      </w:r>
      <w:r>
        <w:rPr>
          <w:color w:val="000000"/>
        </w:rPr>
        <w:t>Электрозарядная станция для электробусов. Подъездные и разворотные пути следования электробусов учитывают существующую транспортную систему Привокзальной площади.</w:t>
      </w:r>
    </w:p>
    <w:p w14:paraId="65000000">
      <w:pPr>
        <w:widowControl w:val="0"/>
        <w:tabs>
          <w:tab w:leader="none" w:pos="426" w:val="left"/>
        </w:tabs>
        <w:ind w:firstLine="709" w:left="0"/>
        <w:jc w:val="both"/>
      </w:pPr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66000000">
      <w:pPr>
        <w:pStyle w:val="Style_7"/>
        <w:widowControl w:val="0"/>
        <w:tabs>
          <w:tab w:leader="none" w:pos="426" w:val="left"/>
        </w:tabs>
        <w:spacing w:before="0"/>
        <w:ind w:firstLine="709" w:left="0" w:right="0"/>
        <w:rPr>
          <w:sz w:val="24"/>
          <w:highlight w:val="yellow"/>
        </w:rPr>
      </w:pPr>
      <w:r>
        <w:rPr>
          <w:sz w:val="24"/>
        </w:rPr>
        <w:t xml:space="preserve">Расчет автостоянок </w:t>
      </w:r>
    </w:p>
    <w:p w14:paraId="67000000">
      <w:pPr>
        <w:widowControl w:val="0"/>
        <w:tabs>
          <w:tab w:leader="none" w:pos="426" w:val="left"/>
          <w:tab w:leader="none" w:pos="7561" w:val="left"/>
        </w:tabs>
        <w:ind w:firstLine="709" w:left="0"/>
        <w:jc w:val="both"/>
      </w:pPr>
      <w:r>
        <w:t xml:space="preserve">Для каждого объекта капитального строительства предусматриваются парковочные места в границах земельных участков согласно Местным нормативам градостроительного проектирования г. Магнитогорска. </w:t>
      </w:r>
    </w:p>
    <w:p w14:paraId="68000000">
      <w:pPr>
        <w:widowControl w:val="0"/>
        <w:ind w:firstLine="709" w:left="0"/>
        <w:jc w:val="both"/>
      </w:pPr>
      <w:r>
        <w:t xml:space="preserve">В границах проектирования не располагаются объекты капитального строительства. Но предусмотрены парковки для объектов, не входящих в границы проектирования: </w:t>
      </w:r>
    </w:p>
    <w:p w14:paraId="69000000">
      <w:pPr>
        <w:widowControl w:val="0"/>
        <w:numPr>
          <w:ilvl w:val="0"/>
          <w:numId w:val="1"/>
        </w:numPr>
        <w:ind w:firstLine="709" w:left="0"/>
        <w:jc w:val="both"/>
      </w:pPr>
      <w:r>
        <w:t>Для существующего железнодорожного вокзала располагается 20 машино-мест по ул. Вокзальной</w:t>
      </w:r>
    </w:p>
    <w:p w14:paraId="6A000000">
      <w:pPr>
        <w:widowControl w:val="0"/>
        <w:numPr>
          <w:ilvl w:val="0"/>
          <w:numId w:val="1"/>
        </w:numPr>
        <w:ind w:firstLine="709" w:left="0"/>
        <w:jc w:val="both"/>
      </w:pPr>
      <w:r>
        <w:t>Для существующего торгового центра с западной границы территории проектирования располагается 10 машино-мест.</w:t>
      </w:r>
    </w:p>
    <w:p w14:paraId="6B000000">
      <w:pPr>
        <w:widowControl w:val="0"/>
        <w:numPr>
          <w:ilvl w:val="0"/>
          <w:numId w:val="1"/>
        </w:numPr>
        <w:ind w:firstLine="709" w:left="0"/>
        <w:jc w:val="both"/>
      </w:pPr>
      <w:r>
        <w:t>Для остановки и ожидания рейсовых автобусов предусмотрено 15 машнио-мест возле существующего здания автовокзала с восточной стороны территории проектирования.</w:t>
      </w:r>
    </w:p>
    <w:p w14:paraId="6C000000">
      <w:pPr>
        <w:widowControl w:val="0"/>
        <w:tabs>
          <w:tab w:leader="none" w:pos="426" w:val="left"/>
        </w:tabs>
        <w:ind w:firstLine="709" w:left="0"/>
        <w:jc w:val="both"/>
      </w:pPr>
      <w:r>
        <w:t>Общее количество машино-мест расположенных в границах проектирования – 45 м/мест. Из них 3 м/мест для МГН.</w:t>
      </w:r>
    </w:p>
    <w:p w14:paraId="6D000000">
      <w:pPr>
        <w:widowControl w:val="0"/>
        <w:tabs>
          <w:tab w:leader="none" w:pos="426" w:val="left"/>
        </w:tabs>
        <w:ind w:firstLine="709" w:left="0"/>
        <w:jc w:val="both"/>
      </w:pPr>
      <w:r>
        <w:t>Для планируемого объекта улично-дорожной сети «</w:t>
      </w:r>
      <w:r>
        <w:rPr>
          <w:color w:val="000000"/>
        </w:rPr>
        <w:t>Электрозарядная станция для электробусов» парковочные места не предусмотрены.</w:t>
      </w:r>
    </w:p>
    <w:p w14:paraId="6E000000">
      <w:pPr>
        <w:widowControl w:val="0"/>
        <w:tabs>
          <w:tab w:leader="none" w:pos="426" w:val="left"/>
        </w:tabs>
        <w:ind w:firstLine="709" w:left="0"/>
        <w:jc w:val="both"/>
      </w:pPr>
      <w:r>
        <w:t>5. Схема вертикальной планировки улиц</w:t>
      </w:r>
    </w:p>
    <w:p w14:paraId="6F000000">
      <w:pPr>
        <w:widowControl w:val="0"/>
        <w:tabs>
          <w:tab w:leader="none" w:pos="426" w:val="left"/>
        </w:tabs>
        <w:ind w:firstLine="709" w:left="0"/>
        <w:jc w:val="both"/>
      </w:pPr>
      <w:r>
        <w:t>Инженерная подготовка территории</w:t>
      </w:r>
    </w:p>
    <w:p w14:paraId="70000000">
      <w:pPr>
        <w:widowControl w:val="0"/>
        <w:tabs>
          <w:tab w:leader="none" w:pos="426" w:val="left"/>
        </w:tabs>
        <w:ind w:firstLine="709" w:left="0"/>
        <w:jc w:val="both"/>
      </w:pPr>
      <w:r>
        <w:t>Инженерная подготовка территорий предусматривает проведение мероприятий с целью создания благоприятных условий для строительства и благоустройства проектируемых объектов.</w:t>
      </w:r>
    </w:p>
    <w:p w14:paraId="71000000">
      <w:pPr>
        <w:widowControl w:val="0"/>
        <w:tabs>
          <w:tab w:leader="none" w:pos="426" w:val="left"/>
        </w:tabs>
        <w:ind w:firstLine="709" w:left="0"/>
        <w:jc w:val="both"/>
      </w:pPr>
      <w:r>
        <w:t>В состав мероприятий по инженерной подготовке входят:</w:t>
      </w:r>
    </w:p>
    <w:p w14:paraId="72000000">
      <w:pPr>
        <w:widowControl w:val="0"/>
        <w:tabs>
          <w:tab w:leader="none" w:pos="426" w:val="left"/>
        </w:tabs>
        <w:ind w:firstLine="709" w:left="0"/>
        <w:jc w:val="both"/>
      </w:pPr>
      <w:r>
        <w:t>- вертикальная планировка территории (существующие и проектные отметки по осям проезжих частей в местах пересечения улиц и проездов и в местах перелома продольного профиля, проектные продольные уклоны);</w:t>
      </w:r>
    </w:p>
    <w:p w14:paraId="73000000">
      <w:pPr>
        <w:widowControl w:val="0"/>
        <w:tabs>
          <w:tab w:leader="none" w:pos="426" w:val="left"/>
        </w:tabs>
        <w:ind w:firstLine="709" w:left="0"/>
        <w:jc w:val="both"/>
      </w:pPr>
      <w:r>
        <w:t>- проектируемые мероприятия по инженерной подготовке территорий (организация отвода поверхностных вод).</w:t>
      </w:r>
    </w:p>
    <w:p w14:paraId="74000000">
      <w:pPr>
        <w:widowControl w:val="0"/>
        <w:tabs>
          <w:tab w:leader="none" w:pos="426" w:val="left"/>
        </w:tabs>
        <w:ind w:firstLine="709" w:left="0"/>
        <w:jc w:val="both"/>
      </w:pPr>
      <w:r>
        <w:t>Вертикальная планировка</w:t>
      </w:r>
    </w:p>
    <w:p w14:paraId="75000000">
      <w:pPr>
        <w:widowControl w:val="0"/>
        <w:tabs>
          <w:tab w:leader="none" w:pos="426" w:val="left"/>
        </w:tabs>
        <w:ind w:firstLine="709" w:left="0"/>
        <w:jc w:val="both"/>
      </w:pPr>
      <w:r>
        <w:t>В мероприятия по вертикальной планировке входят:</w:t>
      </w:r>
    </w:p>
    <w:p w14:paraId="76000000">
      <w:pPr>
        <w:widowControl w:val="0"/>
        <w:tabs>
          <w:tab w:leader="none" w:pos="426" w:val="left"/>
        </w:tabs>
        <w:ind w:firstLine="709" w:left="0"/>
        <w:jc w:val="both"/>
      </w:pPr>
      <w:r>
        <w:t>- организация отвода поверхностных вод с территории на существующую улично-дорожную сеть;</w:t>
      </w:r>
    </w:p>
    <w:p w14:paraId="77000000">
      <w:pPr>
        <w:widowControl w:val="0"/>
        <w:tabs>
          <w:tab w:leader="none" w:pos="426" w:val="left"/>
        </w:tabs>
        <w:ind w:firstLine="709" w:left="0"/>
        <w:jc w:val="both"/>
      </w:pPr>
      <w:r>
        <w:t>- применение нормативных уклонов;</w:t>
      </w:r>
    </w:p>
    <w:p w14:paraId="78000000">
      <w:pPr>
        <w:widowControl w:val="0"/>
        <w:tabs>
          <w:tab w:leader="none" w:pos="426" w:val="left"/>
        </w:tabs>
        <w:ind w:firstLine="709" w:left="0"/>
        <w:jc w:val="both"/>
      </w:pPr>
      <w:r>
        <w:t>- максимальное сохранение существующего рельефа;</w:t>
      </w:r>
    </w:p>
    <w:p w14:paraId="79000000">
      <w:pPr>
        <w:widowControl w:val="0"/>
        <w:tabs>
          <w:tab w:leader="none" w:pos="426" w:val="left"/>
        </w:tabs>
        <w:ind w:firstLine="709" w:left="0"/>
        <w:jc w:val="both"/>
      </w:pPr>
      <w:r>
        <w:t>- сокращение до минимума объема и обеспечение рационального баланса земляных работ.</w:t>
      </w:r>
    </w:p>
    <w:p w14:paraId="7A000000">
      <w:pPr>
        <w:widowControl w:val="0"/>
        <w:tabs>
          <w:tab w:leader="none" w:pos="426" w:val="left"/>
        </w:tabs>
        <w:ind w:firstLine="709" w:left="0"/>
        <w:jc w:val="both"/>
      </w:pPr>
      <w:r>
        <w:t>6. Инженерные сети</w:t>
      </w:r>
    </w:p>
    <w:p w14:paraId="7B000000">
      <w:pPr>
        <w:widowControl w:val="0"/>
        <w:tabs>
          <w:tab w:leader="none" w:pos="426" w:val="left"/>
        </w:tabs>
        <w:ind w:firstLine="709" w:left="0"/>
        <w:jc w:val="both"/>
      </w:pPr>
      <w:r>
        <w:t>Водоснабжение и водоотведение</w:t>
      </w:r>
    </w:p>
    <w:p w14:paraId="7C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На территории проектирования располагаются существующие сети водоснабжения и водоотведения по ул. Вокзальная. </w:t>
      </w:r>
    </w:p>
    <w:p w14:paraId="7D000000">
      <w:pPr>
        <w:widowControl w:val="0"/>
        <w:tabs>
          <w:tab w:leader="none" w:pos="426" w:val="left"/>
        </w:tabs>
        <w:ind w:firstLine="709" w:left="0"/>
        <w:jc w:val="both"/>
      </w:pPr>
      <w:r>
        <w:t>Производится демонтаж существующих подводящих сетей водоснабжения и водоотведения от демонтируемого нежилого здания – автостанции.</w:t>
      </w:r>
    </w:p>
    <w:p w14:paraId="7E000000">
      <w:pPr>
        <w:widowControl w:val="0"/>
        <w:tabs>
          <w:tab w:leader="none" w:pos="426" w:val="left"/>
        </w:tabs>
        <w:ind w:firstLine="709" w:left="0"/>
        <w:jc w:val="both"/>
      </w:pPr>
      <w:r>
        <w:t>Проектом не производится подключение объектов к сети водоснабжения и водоотведения</w:t>
      </w:r>
    </w:p>
    <w:p w14:paraId="7F000000">
      <w:pPr>
        <w:widowControl w:val="0"/>
        <w:tabs>
          <w:tab w:leader="none" w:pos="426" w:val="left"/>
        </w:tabs>
        <w:ind w:firstLine="709" w:left="0"/>
        <w:jc w:val="both"/>
      </w:pPr>
      <w:r>
        <w:t>Ливневая канализация</w:t>
      </w:r>
    </w:p>
    <w:p w14:paraId="80000000">
      <w:pPr>
        <w:widowControl w:val="0"/>
        <w:tabs>
          <w:tab w:leader="none" w:pos="426" w:val="left"/>
        </w:tabs>
        <w:ind w:firstLine="709" w:left="0"/>
        <w:jc w:val="both"/>
      </w:pPr>
      <w:r>
        <w:t>На территории проектирования располагается сеть ливневой канализации. Изменение существующей сети не предусматривается.</w:t>
      </w:r>
    </w:p>
    <w:p w14:paraId="81000000">
      <w:pPr>
        <w:widowControl w:val="0"/>
        <w:tabs>
          <w:tab w:leader="none" w:pos="426" w:val="left"/>
        </w:tabs>
        <w:ind w:firstLine="709" w:left="0"/>
        <w:jc w:val="both"/>
      </w:pPr>
      <w:r>
        <w:t>Электроснабжение</w:t>
      </w:r>
    </w:p>
    <w:p w14:paraId="82000000">
      <w:pPr>
        <w:widowControl w:val="0"/>
        <w:tabs>
          <w:tab w:leader="none" w:pos="426" w:val="left"/>
        </w:tabs>
        <w:ind w:firstLine="709" w:left="0"/>
        <w:jc w:val="both"/>
      </w:pPr>
      <w:r>
        <w:t>Проектом производится подключение проектируемого объекта «</w:t>
      </w:r>
      <w:r>
        <w:rPr>
          <w:color w:val="000000"/>
        </w:rPr>
        <w:t>Электрозарядная станция для электробусов" по Техническим условиям от 30.10.2024 №000000969</w:t>
      </w:r>
      <w:r>
        <w:t xml:space="preserve"> (см. приложение 1).</w:t>
      </w:r>
    </w:p>
    <w:p w14:paraId="83000000">
      <w:pPr>
        <w:widowControl w:val="0"/>
        <w:tabs>
          <w:tab w:leader="none" w:pos="426" w:val="left"/>
        </w:tabs>
        <w:ind w:firstLine="709" w:left="0"/>
        <w:jc w:val="both"/>
        <w:rPr>
          <w:color w:val="000000"/>
        </w:rPr>
      </w:pPr>
      <w:r>
        <w:t>Технические параметры для подключения:</w:t>
      </w:r>
    </w:p>
    <w:p w14:paraId="84000000">
      <w:pPr>
        <w:widowControl w:val="0"/>
        <w:tabs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Уровень напряжения – 0,4кВ</w:t>
      </w:r>
    </w:p>
    <w:p w14:paraId="85000000">
      <w:pPr>
        <w:widowControl w:val="0"/>
        <w:tabs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 xml:space="preserve">Категория надежности электроснабжения – </w:t>
      </w:r>
      <w:r>
        <w:rPr>
          <w:color w:val="000000"/>
        </w:rPr>
        <w:t>II</w:t>
      </w:r>
      <w:r>
        <w:rPr>
          <w:color w:val="000000"/>
        </w:rPr>
        <w:t xml:space="preserve"> (вторая)</w:t>
      </w:r>
    </w:p>
    <w:p w14:paraId="86000000">
      <w:pPr>
        <w:widowControl w:val="0"/>
        <w:tabs>
          <w:tab w:leader="none" w:pos="426" w:val="left"/>
        </w:tabs>
        <w:ind w:firstLine="709" w:left="0"/>
        <w:jc w:val="both"/>
      </w:pPr>
      <w:r>
        <w:t>- установка 4 ед. УБЗС мощностью по 200кВт с телеметрическим управлением. УБЗС - уличного исполнения.</w:t>
      </w:r>
    </w:p>
    <w:p w14:paraId="87000000">
      <w:pPr>
        <w:pStyle w:val="Style_8"/>
        <w:widowControl w:val="0"/>
        <w:ind w:firstLine="709" w:left="0"/>
        <w:contextualSpacing w:val="0"/>
        <w:jc w:val="both"/>
      </w:pPr>
      <w:r>
        <w:t>Подводящий подземный кабель 0,4кВ силовых линий прокладываются методом ГНБ на глубине 1,0м (в траншее) от поверхности земли от проектируемой БКТП-10/04кВ, мощностью 2х1600кВ. Подключения БКТП-10/04кВ производится врезкой 2х кабелей в КЛ-10кВ между РТП ф/н 9кВ и РТП Вокзал ф48-41; и 2х кабелей в ВЛ-10кВ между РТП ф/н 9кВ и п/ст-48 ф48-46</w:t>
      </w:r>
    </w:p>
    <w:p w14:paraId="88000000">
      <w:pPr>
        <w:widowControl w:val="0"/>
        <w:ind w:firstLine="709" w:left="0"/>
        <w:jc w:val="both"/>
      </w:pPr>
      <w:r>
        <w:t>Место размещение проектируемых электрозарядных станций и трансформаторной подстанции 10/0,4кВ в районе Привокзальной площади согласно рабочей документации №ЭПИ.2024/040, разрабатываемой ООО «Энергопроектинновации»</w:t>
      </w:r>
    </w:p>
    <w:p w14:paraId="89000000">
      <w:pPr>
        <w:widowControl w:val="0"/>
        <w:tabs>
          <w:tab w:leader="none" w:pos="426" w:val="left"/>
        </w:tabs>
        <w:ind w:firstLine="709" w:left="0"/>
        <w:jc w:val="both"/>
      </w:pPr>
      <w:r>
        <w:t>Теплогазоснабжение</w:t>
      </w:r>
    </w:p>
    <w:p w14:paraId="8A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На территории проектирования располагаются сети теплоснабжения. </w:t>
      </w:r>
    </w:p>
    <w:p w14:paraId="8B000000">
      <w:pPr>
        <w:widowControl w:val="0"/>
        <w:tabs>
          <w:tab w:leader="none" w:pos="426" w:val="left"/>
        </w:tabs>
        <w:ind w:firstLine="709" w:left="0"/>
        <w:jc w:val="both"/>
      </w:pPr>
      <w:r>
        <w:t>Проектом планировки территории не производится подключение проектируемого объекта к тепловым сетям.</w:t>
      </w:r>
    </w:p>
    <w:p w14:paraId="8C000000">
      <w:pPr>
        <w:widowControl w:val="0"/>
        <w:tabs>
          <w:tab w:leader="none" w:pos="426" w:val="left"/>
        </w:tabs>
        <w:ind w:firstLine="709" w:left="0"/>
        <w:jc w:val="both"/>
      </w:pPr>
      <w:r>
        <w:t>Сети связи</w:t>
      </w:r>
    </w:p>
    <w:p w14:paraId="8D000000">
      <w:pPr>
        <w:widowControl w:val="0"/>
        <w:tabs>
          <w:tab w:leader="none" w:pos="426" w:val="left"/>
        </w:tabs>
        <w:ind w:firstLine="709" w:left="0"/>
        <w:jc w:val="both"/>
      </w:pPr>
      <w:r>
        <w:t>На территории проектирования располагаются существующие сети связи. Проектом не предполагается подключение проектируемых объектов к сетям связи.</w:t>
      </w:r>
    </w:p>
    <w:p w14:paraId="8E000000">
      <w:pPr>
        <w:widowControl w:val="0"/>
        <w:tabs>
          <w:tab w:leader="none" w:pos="426" w:val="left"/>
        </w:tabs>
        <w:ind w:firstLine="709" w:left="0"/>
        <w:jc w:val="both"/>
      </w:pPr>
      <w:r>
        <w:t>7. Санитарная очистка территории</w:t>
      </w:r>
    </w:p>
    <w:p w14:paraId="8F000000">
      <w:pPr>
        <w:pStyle w:val="Style_9"/>
        <w:widowControl w:val="0"/>
        <w:tabs>
          <w:tab w:leader="none" w:pos="142" w:val="left"/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Очистка территории – одно из важнейших мероприятий, обеспечивающих экологическое и санитарно-эпидемиологическое благополучие населения и охрану окружающей среды.</w:t>
      </w:r>
    </w:p>
    <w:p w14:paraId="90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Организация контейнерных площадок осуществляется </w:t>
      </w:r>
      <w:r>
        <w:rPr>
          <w:highlight w:val="white"/>
        </w:rPr>
        <w:t>с</w:t>
      </w:r>
      <w:r>
        <w:t xml:space="preserve">огласно </w:t>
      </w:r>
      <w:r>
        <w:rPr>
          <w:highlight w:val="white"/>
        </w:rPr>
        <w:t> </w:t>
      </w:r>
      <w:r>
        <w:rPr>
          <w:rStyle w:val="Style_4_ch"/>
          <w:color w:val="000000"/>
          <w:highlight w:val="white"/>
          <w:u w:val="none"/>
        </w:rPr>
        <w:fldChar w:fldCharType="begin"/>
      </w:r>
      <w:r>
        <w:rPr>
          <w:rStyle w:val="Style_4_ch"/>
          <w:color w:val="000000"/>
          <w:highlight w:val="white"/>
          <w:u w:val="none"/>
        </w:rPr>
        <w:instrText>HYPERLINK "https://docs.cntd.ru/document/573536177#7DI0K8"</w:instrText>
      </w:r>
      <w:r>
        <w:rPr>
          <w:rStyle w:val="Style_4_ch"/>
          <w:color w:val="000000"/>
          <w:highlight w:val="white"/>
          <w:u w:val="none"/>
        </w:rPr>
        <w:fldChar w:fldCharType="separate"/>
      </w:r>
      <w:r>
        <w:rPr>
          <w:rStyle w:val="Style_4_ch"/>
          <w:color w:val="000000"/>
          <w:highlight w:val="white"/>
          <w:u w:val="none"/>
        </w:rPr>
        <w:t>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  <w:r>
        <w:rPr>
          <w:rStyle w:val="Style_4_ch"/>
          <w:color w:val="000000"/>
          <w:highlight w:val="white"/>
          <w:u w:val="none"/>
        </w:rPr>
        <w:fldChar w:fldCharType="end"/>
      </w:r>
      <w:r>
        <w:t>:</w:t>
      </w:r>
    </w:p>
    <w:p w14:paraId="9100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Контейнерные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площадки. </w:t>
      </w:r>
    </w:p>
    <w:p w14:paraId="9200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Специальные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 с трех сторон высотой не менее 1 метра. </w:t>
      </w:r>
    </w:p>
    <w:p w14:paraId="9300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>Проектом не предусматриваются площадки ТКО в границах территории проектирования.</w:t>
      </w:r>
    </w:p>
    <w:p w14:paraId="94000000">
      <w:pPr>
        <w:widowControl w:val="0"/>
        <w:tabs>
          <w:tab w:leader="none" w:pos="426" w:val="left"/>
        </w:tabs>
        <w:ind w:firstLine="709" w:left="0"/>
        <w:jc w:val="both"/>
      </w:pPr>
      <w:r>
        <w:t>8. Градостроительные регламенты</w:t>
      </w:r>
    </w:p>
    <w:p w14:paraId="95000000">
      <w:pPr>
        <w:widowControl w:val="0"/>
        <w:tabs>
          <w:tab w:leader="none" w:pos="426" w:val="left"/>
        </w:tabs>
        <w:ind w:firstLine="709" w:left="0"/>
        <w:jc w:val="both"/>
      </w:pPr>
      <w:r>
        <w:t>Виды и состав территориальных зон,</w:t>
      </w:r>
    </w:p>
    <w:p w14:paraId="96000000">
      <w:pPr>
        <w:widowControl w:val="0"/>
        <w:tabs>
          <w:tab w:leader="none" w:pos="426" w:val="left"/>
        </w:tabs>
        <w:ind w:firstLine="709" w:left="0"/>
        <w:jc w:val="both"/>
      </w:pPr>
      <w:r>
        <w:t>выделенных на карте градостроительного зонирования</w:t>
      </w:r>
    </w:p>
    <w:p w14:paraId="97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Территория проектирования на карте градостроительного зонирования охватывает часть города со следующими видами и составом территориальных зон: </w:t>
      </w:r>
    </w:p>
    <w:p w14:paraId="98000000">
      <w:pPr>
        <w:widowControl w:val="0"/>
        <w:tabs>
          <w:tab w:leader="none" w:pos="426" w:val="left"/>
        </w:tabs>
        <w:ind/>
        <w:jc w:val="both"/>
      </w:pPr>
      <w:r>
        <w:tab/>
      </w:r>
      <w:r>
        <w:t>Таблица 8.1</w:t>
      </w:r>
    </w:p>
    <w:tbl>
      <w:tblPr>
        <w:tblStyle w:val="Style_10"/>
        <w:tblW w:type="auto" w:w="0"/>
        <w:tblLayout w:type="fixed"/>
      </w:tblPr>
      <w:tblGrid>
        <w:gridCol w:w="4785"/>
        <w:gridCol w:w="4786"/>
      </w:tblGrid>
      <w:tr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9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Кодовые обозначения территориальных зон</w:t>
            </w: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территориальных зон</w:t>
            </w:r>
          </w:p>
        </w:tc>
      </w:tr>
      <w:tr>
        <w:trPr>
          <w:trHeight w:hRule="atLeast" w:val="352"/>
        </w:trPr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B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Зоны производственного использования</w:t>
            </w:r>
          </w:p>
        </w:tc>
      </w:tr>
      <w:tr>
        <w:trPr>
          <w:trHeight w:hRule="atLeast" w:val="397"/>
        </w:trPr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D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</w:rPr>
              <w:t>Зона производственно-складских объектов».</w:t>
            </w:r>
          </w:p>
        </w:tc>
      </w:tr>
      <w:tr>
        <w:trPr>
          <w:trHeight w:hRule="atLeast" w:val="274"/>
        </w:trPr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F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Зоны транспортной и инженерной инфраструктуры</w:t>
            </w:r>
          </w:p>
        </w:tc>
      </w:tr>
      <w:tr>
        <w:trPr>
          <w:trHeight w:hRule="atLeast" w:val="263"/>
        </w:trPr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1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ТР-1</w:t>
            </w: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«Зона железнодорожного транспорта»</w:t>
            </w:r>
          </w:p>
        </w:tc>
      </w:tr>
      <w:tr>
        <w:trPr>
          <w:trHeight w:hRule="atLeast" w:val="299"/>
        </w:trPr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3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Жилые зоны</w:t>
            </w:r>
          </w:p>
        </w:tc>
      </w:tr>
      <w:tr>
        <w:trPr>
          <w:trHeight w:hRule="atLeast" w:val="383"/>
        </w:trPr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5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«Зона среднеэтажной многоквартирной жилой застройки»</w:t>
            </w:r>
          </w:p>
        </w:tc>
      </w:tr>
      <w:tr>
        <w:trPr>
          <w:trHeight w:hRule="atLeast" w:val="383"/>
        </w:trPr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7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Зоны рекреационного назначения</w:t>
            </w:r>
          </w:p>
        </w:tc>
      </w:tr>
      <w:tr>
        <w:trPr>
          <w:trHeight w:hRule="atLeast" w:val="383"/>
        </w:trPr>
        <w:tc>
          <w:tcPr>
            <w:tcW w:type="dxa" w:w="47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9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Р-1</w:t>
            </w:r>
          </w:p>
        </w:tc>
        <w:tc>
          <w:tcPr>
            <w:tcW w:type="dxa" w:w="4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зеленых насаждений общего пользования</w:t>
            </w:r>
          </w:p>
        </w:tc>
      </w:tr>
    </w:tbl>
    <w:p w14:paraId="AB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9. </w:t>
      </w:r>
      <w:r>
        <w:t>Основные технико-экономические показатели проекта планировки территории</w:t>
      </w:r>
      <w:bookmarkStart w:id="1" w:name="__RefHeading__5_490456836"/>
      <w:bookmarkEnd w:id="1"/>
    </w:p>
    <w:p w14:paraId="AC000000">
      <w:pPr>
        <w:widowControl w:val="0"/>
        <w:tabs>
          <w:tab w:leader="none" w:pos="426" w:val="left"/>
        </w:tabs>
        <w:ind/>
        <w:jc w:val="both"/>
      </w:pPr>
      <w:r>
        <w:tab/>
      </w:r>
      <w:r>
        <w:t>Таблица 9.1</w:t>
      </w:r>
    </w:p>
    <w:tbl>
      <w:tblPr>
        <w:tblStyle w:val="Style_10"/>
        <w:tblW w:type="auto" w:w="0"/>
        <w:jc w:val="right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  <w:tblCellMar>
          <w:left w:type="dxa" w:w="28"/>
          <w:right w:type="dxa" w:w="28"/>
        </w:tblCellMar>
      </w:tblPr>
      <w:tblGrid>
        <w:gridCol w:w="594"/>
        <w:gridCol w:w="32"/>
        <w:gridCol w:w="4591"/>
        <w:gridCol w:w="1318"/>
        <w:gridCol w:w="1543"/>
        <w:gridCol w:w="1333"/>
      </w:tblGrid>
      <w:tr>
        <w:trPr>
          <w:tblHeader/>
        </w:trP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AD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AE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AF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0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 на 2024 г.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B1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2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3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</w:t>
            </w:r>
          </w:p>
        </w:tc>
        <w:tc>
          <w:tcPr>
            <w:tcW w:type="dxa" w:w="131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4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5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6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90"/>
        </w:trP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7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B8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9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A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B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2,3180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C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2,3180</w:t>
            </w:r>
          </w:p>
        </w:tc>
      </w:tr>
      <w:tr>
        <w:trPr>
          <w:trHeight w:hRule="atLeast" w:val="190"/>
        </w:trPr>
        <w:tc>
          <w:tcPr>
            <w:tcW w:type="dxa" w:w="5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D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6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E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BF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0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1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rPr>
          <w:trHeight w:hRule="atLeast" w:val="152"/>
        </w:trPr>
        <w:tc>
          <w:tcPr>
            <w:tcW w:type="dxa" w:w="5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/>
        </w:tc>
        <w:tc>
          <w:tcPr>
            <w:tcW w:type="dxa" w:w="46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2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3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4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5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6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7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 «</w:t>
            </w:r>
            <w:r>
              <w:rPr>
                <w:sz w:val="20"/>
              </w:rPr>
              <w:t>Зона производственно-складских объектов».</w:t>
            </w:r>
          </w:p>
          <w:p w14:paraId="C8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ТР-1 «Зона железнодорожного транспорта»</w:t>
            </w:r>
          </w:p>
          <w:p w14:paraId="C9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Ж-2 «Зона среднеэтажной многоквартирной жилой застройки»</w:t>
            </w:r>
          </w:p>
          <w:p w14:paraId="CA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Р-1 «Зона зеленых насаждений общего пользования»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CB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C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1,6575</w:t>
            </w:r>
          </w:p>
          <w:p w14:paraId="CD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0,0598</w:t>
            </w:r>
          </w:p>
          <w:p w14:paraId="CE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CF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0,553</w:t>
            </w:r>
          </w:p>
          <w:p w14:paraId="D0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D1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0,0477</w:t>
            </w:r>
          </w:p>
          <w:p w14:paraId="D2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3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1,6575</w:t>
            </w:r>
          </w:p>
          <w:p w14:paraId="D4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0,0598</w:t>
            </w:r>
          </w:p>
          <w:p w14:paraId="D5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D6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0,553</w:t>
            </w:r>
          </w:p>
          <w:p w14:paraId="D7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D8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0,0477</w:t>
            </w:r>
          </w:p>
          <w:p w14:paraId="D9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86"/>
        </w:trP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A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B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C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D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1,2715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E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1,2715</w:t>
            </w:r>
          </w:p>
        </w:tc>
      </w:tr>
      <w:tr>
        <w:tc>
          <w:tcPr>
            <w:tcW w:type="dxa" w:w="5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F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6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0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1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2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3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6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4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5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6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0,00358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7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0,00358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8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9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A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B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1,26792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C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1,26792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D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E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 территории общего пользования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F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0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1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2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3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4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5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6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7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8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9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A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B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C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D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Транспортная инфраструктура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E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F00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улично-дорожной сети - всего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км.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0,310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0,310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7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14:paraId="08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магистральная улица общегородского значения регулируемого движения;  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9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A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0B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0,310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C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0D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0,310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E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F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улицы и проезды местного значения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линий общественного пассажирского транспорта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км.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310,0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7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310,0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8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9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A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маш.-мест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B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C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>
        <w:tc>
          <w:tcPr>
            <w:tcW w:type="dxa" w:w="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D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E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F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54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2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2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623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2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временного хранения</w:t>
            </w:r>
          </w:p>
        </w:tc>
        <w:tc>
          <w:tcPr>
            <w:tcW w:type="dxa" w:w="13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2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54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2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type="dxa" w:w="13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2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</w:tbl>
    <w:p w14:paraId="27010000">
      <w:pPr>
        <w:widowControl w:val="0"/>
        <w:tabs>
          <w:tab w:leader="none" w:pos="426" w:val="left"/>
        </w:tabs>
        <w:ind/>
        <w:jc w:val="both"/>
      </w:pPr>
    </w:p>
    <w:p w14:paraId="28010000">
      <w:pPr>
        <w:pStyle w:val="Style_7"/>
        <w:widowControl w:val="0"/>
        <w:spacing w:before="0"/>
        <w:ind w:firstLine="709" w:left="0" w:right="0"/>
        <w:rPr>
          <w:sz w:val="24"/>
        </w:rPr>
      </w:pPr>
    </w:p>
    <w:sectPr>
      <w:headerReference r:id="rId2" w:type="default"/>
      <w:headerReference r:id="rId1" w:type="first"/>
      <w:footerReference r:id="rId3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  <w:ind/>
      <w:jc w:val="right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14.03.2025 № 2377-П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rPr>
      <w:rFonts w:ascii="Times New Roman" w:hAnsi="Times New Roman"/>
      <w:sz w:val="24"/>
    </w:rPr>
  </w:style>
  <w:style w:default="1" w:styleId="Style_11_ch" w:type="character">
    <w:name w:val="Normal"/>
    <w:link w:val="Style_11"/>
    <w:rPr>
      <w:rFonts w:ascii="Times New Roman" w:hAnsi="Times New Roman"/>
      <w:sz w:val="24"/>
    </w:rPr>
  </w:style>
  <w:style w:styleId="Style_7" w:type="paragraph">
    <w:name w:val="Нормальный-2"/>
    <w:basedOn w:val="Style_11"/>
    <w:link w:val="Style_7_ch"/>
    <w:pPr>
      <w:spacing w:before="120"/>
      <w:ind w:firstLine="851" w:left="284" w:right="170"/>
      <w:jc w:val="both"/>
    </w:pPr>
    <w:rPr>
      <w:sz w:val="26"/>
    </w:rPr>
  </w:style>
  <w:style w:styleId="Style_7_ch" w:type="character">
    <w:name w:val="Нормальный-2"/>
    <w:basedOn w:val="Style_11_ch"/>
    <w:link w:val="Style_7"/>
    <w:rPr>
      <w:sz w:val="26"/>
    </w:rPr>
  </w:style>
  <w:style w:styleId="Style_12" w:type="paragraph">
    <w:name w:val="toc 2"/>
    <w:next w:val="Style_11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toc 4"/>
    <w:next w:val="Style_11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oc 6"/>
    <w:next w:val="Style_11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7"/>
    <w:next w:val="Style_11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Body Text Indent 2"/>
    <w:basedOn w:val="Style_11"/>
    <w:link w:val="Style_17_ch"/>
    <w:pPr>
      <w:spacing w:after="120" w:line="480" w:lineRule="auto"/>
      <w:ind w:firstLine="0" w:left="283"/>
    </w:pPr>
  </w:style>
  <w:style w:styleId="Style_17_ch" w:type="character">
    <w:name w:val="Body Text Indent 2"/>
    <w:basedOn w:val="Style_11_ch"/>
    <w:link w:val="Style_17"/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next w:val="Style_11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" w:type="paragraph">
    <w:name w:val="footer"/>
    <w:basedOn w:val="Style_11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11_ch"/>
    <w:link w:val="Style_2"/>
    <w:rPr>
      <w:sz w:val="20"/>
    </w:rPr>
  </w:style>
  <w:style w:styleId="Style_20" w:type="paragraph">
    <w:name w:val="Без интервала1"/>
    <w:link w:val="Style_20_ch"/>
    <w:pPr>
      <w:ind w:firstLine="720" w:left="0"/>
      <w:jc w:val="both"/>
    </w:pPr>
    <w:rPr>
      <w:rFonts w:ascii="Times New Roman" w:hAnsi="Times New Roman"/>
      <w:sz w:val="24"/>
    </w:rPr>
  </w:style>
  <w:style w:styleId="Style_20_ch" w:type="character">
    <w:name w:val="Без интервала1"/>
    <w:link w:val="Style_20"/>
    <w:rPr>
      <w:rFonts w:ascii="Times New Roman" w:hAnsi="Times New Roman"/>
      <w:sz w:val="24"/>
    </w:rPr>
  </w:style>
  <w:style w:styleId="Style_21" w:type="paragraph">
    <w:name w:val="page number"/>
    <w:link w:val="Style_21_ch"/>
  </w:style>
  <w:style w:styleId="Style_21_ch" w:type="character">
    <w:name w:val="page number"/>
    <w:link w:val="Style_21"/>
  </w:style>
  <w:style w:styleId="Style_22" w:type="paragraph">
    <w:name w:val="toc 3"/>
    <w:next w:val="Style_11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5" w:type="paragraph">
    <w:name w:val="match"/>
    <w:link w:val="Style_5_ch"/>
  </w:style>
  <w:style w:styleId="Style_5_ch" w:type="character">
    <w:name w:val="match"/>
    <w:link w:val="Style_5"/>
  </w:style>
  <w:style w:styleId="Style_23" w:type="paragraph">
    <w:name w:val="heading 5"/>
    <w:next w:val="Style_11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Body Text"/>
    <w:basedOn w:val="Style_11"/>
    <w:link w:val="Style_24_ch"/>
    <w:pPr>
      <w:spacing w:after="120"/>
      <w:ind/>
    </w:pPr>
  </w:style>
  <w:style w:styleId="Style_24_ch" w:type="character">
    <w:name w:val="Body Text"/>
    <w:basedOn w:val="Style_11_ch"/>
    <w:link w:val="Style_24"/>
  </w:style>
  <w:style w:styleId="Style_25" w:type="paragraph">
    <w:name w:val="heading 1"/>
    <w:basedOn w:val="Style_11"/>
    <w:next w:val="Style_11"/>
    <w:link w:val="Style_25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5_ch" w:type="character">
    <w:name w:val="heading 1"/>
    <w:basedOn w:val="Style_11_ch"/>
    <w:link w:val="Style_25"/>
    <w:rPr>
      <w:rFonts w:ascii="Arial" w:hAnsi="Arial"/>
      <w:b w:val="1"/>
      <w:sz w:val="32"/>
    </w:rPr>
  </w:style>
  <w:style w:styleId="Style_26" w:type="paragraph">
    <w:name w:val="Balloon Text"/>
    <w:basedOn w:val="Style_11"/>
    <w:link w:val="Style_26_ch"/>
    <w:rPr>
      <w:rFonts w:ascii="Segoe UI" w:hAnsi="Segoe UI"/>
      <w:sz w:val="18"/>
    </w:rPr>
  </w:style>
  <w:style w:styleId="Style_26_ch" w:type="character">
    <w:name w:val="Balloon Text"/>
    <w:basedOn w:val="Style_11_ch"/>
    <w:link w:val="Style_26"/>
    <w:rPr>
      <w:rFonts w:ascii="Segoe UI" w:hAnsi="Segoe UI"/>
      <w:sz w:val="18"/>
    </w:rPr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11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toc 9"/>
    <w:next w:val="Style_11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toc 8"/>
    <w:next w:val="Style_11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6" w:type="paragraph">
    <w:name w:val="Текст1"/>
    <w:basedOn w:val="Style_11"/>
    <w:link w:val="Style_6_ch"/>
    <w:rPr>
      <w:rFonts w:ascii="Courier New" w:hAnsi="Courier New"/>
      <w:sz w:val="20"/>
    </w:rPr>
  </w:style>
  <w:style w:styleId="Style_6_ch" w:type="character">
    <w:name w:val="Текст1"/>
    <w:basedOn w:val="Style_11_ch"/>
    <w:link w:val="Style_6"/>
    <w:rPr>
      <w:rFonts w:ascii="Courier New" w:hAnsi="Courier New"/>
      <w:sz w:val="20"/>
    </w:rPr>
  </w:style>
  <w:style w:styleId="Style_8" w:type="paragraph">
    <w:name w:val="List Paragraph"/>
    <w:basedOn w:val="Style_11"/>
    <w:link w:val="Style_8_ch"/>
    <w:pPr>
      <w:ind w:firstLine="0" w:left="720"/>
      <w:contextualSpacing w:val="1"/>
    </w:pPr>
  </w:style>
  <w:style w:styleId="Style_8_ch" w:type="character">
    <w:name w:val="List Paragraph"/>
    <w:basedOn w:val="Style_11_ch"/>
    <w:link w:val="Style_8"/>
  </w:style>
  <w:style w:styleId="Style_32" w:type="paragraph">
    <w:name w:val="toc 5"/>
    <w:next w:val="Style_11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" w:type="paragraph">
    <w:name w:val="Гипертекстовая ссылка"/>
    <w:link w:val="Style_3_ch"/>
    <w:rPr>
      <w:b w:val="1"/>
      <w:color w:val="008000"/>
    </w:rPr>
  </w:style>
  <w:style w:styleId="Style_3_ch" w:type="character">
    <w:name w:val="Гипертекстовая ссылка"/>
    <w:link w:val="Style_3"/>
    <w:rPr>
      <w:b w:val="1"/>
      <w:color w:val="008000"/>
    </w:rPr>
  </w:style>
  <w:style w:styleId="Style_33" w:type="paragraph">
    <w:name w:val="Subtitle"/>
    <w:next w:val="Style_11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9" w:type="paragraph">
    <w:name w:val="Default"/>
    <w:link w:val="Style_9_ch"/>
    <w:rPr>
      <w:rFonts w:ascii="Times New Roman" w:hAnsi="Times New Roman"/>
      <w:color w:val="000000"/>
      <w:sz w:val="24"/>
    </w:rPr>
  </w:style>
  <w:style w:styleId="Style_9_ch" w:type="character">
    <w:name w:val="Default"/>
    <w:link w:val="Style_9"/>
    <w:rPr>
      <w:rFonts w:ascii="Times New Roman" w:hAnsi="Times New Roman"/>
      <w:color w:val="000000"/>
      <w:sz w:val="24"/>
    </w:rPr>
  </w:style>
  <w:style w:styleId="Style_34" w:type="paragraph">
    <w:name w:val="Normal (Web)"/>
    <w:basedOn w:val="Style_11"/>
    <w:link w:val="Style_34_ch"/>
    <w:pPr>
      <w:spacing w:after="280" w:before="280"/>
      <w:ind/>
    </w:pPr>
  </w:style>
  <w:style w:styleId="Style_34_ch" w:type="character">
    <w:name w:val="Normal (Web)"/>
    <w:basedOn w:val="Style_11_ch"/>
    <w:link w:val="Style_34"/>
  </w:style>
  <w:style w:styleId="Style_35" w:type="paragraph">
    <w:name w:val="Title"/>
    <w:next w:val="Style_11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11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basedOn w:val="Style_11"/>
    <w:next w:val="Style_11"/>
    <w:link w:val="Style_37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7_ch" w:type="character">
    <w:name w:val="heading 2"/>
    <w:basedOn w:val="Style_11_ch"/>
    <w:link w:val="Style_37"/>
    <w:rPr>
      <w:rFonts w:ascii="Arial" w:hAnsi="Arial"/>
      <w:b w:val="1"/>
      <w:i w:val="1"/>
      <w:sz w:val="28"/>
    </w:rPr>
  </w:style>
  <w:style w:styleId="Style_1" w:type="paragraph">
    <w:name w:val="header"/>
    <w:basedOn w:val="Style_11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1_ch"/>
    <w:link w:val="Style_1"/>
    <w:rPr>
      <w:sz w:val="20"/>
    </w:rPr>
  </w:style>
  <w:style w:default="1" w:styleId="Style_1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8" w:type="table">
    <w:name w:val="Table Grid"/>
    <w:basedOn w:val="Style_10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2" Target="numbering.xml" Type="http://schemas.openxmlformats.org/officeDocument/2006/relationships/numbering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styles.xml" Type="http://schemas.openxmlformats.org/officeDocument/2006/relationships/styles"/>
  <Relationship Id="rId4" Target="media/1.png" Type="http://schemas.openxmlformats.org/officeDocument/2006/relationships/image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2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2025-03-14T10:02:31Z</dcterms:modified>
</cp:coreProperties>
</file>