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4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5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color w:val="000000"/>
          <w:sz w:val="24"/>
        </w:rPr>
        <w:t>07.02.2025 № 1153-П</w:t>
      </w:r>
    </w:p>
    <w:p w14:paraId="07000000">
      <w:pPr>
        <w:pStyle w:val="Style_2"/>
        <w:ind w:firstLine="9356" w:left="0"/>
        <w:rPr>
          <w:rFonts w:ascii="Times New Roman" w:hAnsi="Times New Roman"/>
          <w:sz w:val="24"/>
        </w:rPr>
      </w:pPr>
    </w:p>
    <w:p w14:paraId="08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>2</w:t>
      </w:r>
    </w:p>
    <w:p w14:paraId="09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B000000">
      <w:pPr>
        <w:pStyle w:val="Style_2"/>
        <w:ind w:firstLine="9356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C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D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E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«Поддержка семьи»</w:t>
      </w:r>
    </w:p>
    <w:p w14:paraId="1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2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семьи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«Поддержка семьи»</w:t>
            </w:r>
          </w:p>
        </w:tc>
      </w:tr>
    </w:tbl>
    <w:p w14:paraId="2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5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6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27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52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2026 году</w:t>
      </w:r>
    </w:p>
    <w:p w14:paraId="54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7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88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капитального ремонта и приобретение средств обучения и воспитания, необходимых для реализации образовательных программ дошкольного образования, присмотра и ухода за детьми в организациях, осуществляющих </w:t>
            </w:r>
            <w:r>
              <w:rPr>
                <w:rFonts w:ascii="Times New Roman" w:hAnsi="Times New Roman"/>
                <w:sz w:val="24"/>
              </w:rPr>
              <w:t>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B1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2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3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C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shd w:fill="auto" w:val="clear"/>
          </w:tcPr>
          <w:p w14:paraId="C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7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14 313.91</w:t>
            </w:r>
          </w:p>
        </w:tc>
        <w:tc>
          <w:tcPr>
            <w:tcW w:type="dxa" w:w="1559"/>
            <w:shd w:fill="auto" w:val="clear"/>
          </w:tcPr>
          <w:p w14:paraId="C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C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C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C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C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14 313.91</w:t>
            </w:r>
          </w:p>
        </w:tc>
      </w:tr>
      <w:tr>
        <w:tc>
          <w:tcPr>
            <w:tcW w:type="dxa" w:w="3503"/>
            <w:vAlign w:val="center"/>
          </w:tcPr>
          <w:p w14:paraId="C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C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CF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  <w:tc>
          <w:tcPr>
            <w:tcW w:type="dxa" w:w="1559"/>
            <w:shd w:fill="auto" w:val="clear"/>
          </w:tcPr>
          <w:p w14:paraId="D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D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</w:tr>
      <w:tr>
        <w:tc>
          <w:tcPr>
            <w:tcW w:type="dxa" w:w="3503"/>
            <w:vAlign w:val="center"/>
          </w:tcPr>
          <w:p w14:paraId="D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D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7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  <w:tc>
          <w:tcPr>
            <w:tcW w:type="dxa" w:w="1559"/>
            <w:shd w:fill="auto" w:val="clear"/>
          </w:tcPr>
          <w:p w14:paraId="D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D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D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</w:tr>
      <w:tr>
        <w:tc>
          <w:tcPr>
            <w:tcW w:type="dxa" w:w="3503"/>
            <w:vAlign w:val="center"/>
          </w:tcPr>
          <w:p w14:paraId="D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D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DF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  <w:tc>
          <w:tcPr>
            <w:tcW w:type="dxa" w:w="1559"/>
            <w:shd w:fill="auto" w:val="clear"/>
          </w:tcPr>
          <w:p w14:paraId="E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E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E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E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E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</w:tr>
      <w:tr>
        <w:tc>
          <w:tcPr>
            <w:tcW w:type="dxa" w:w="3503"/>
            <w:vAlign w:val="center"/>
          </w:tcPr>
          <w:p w14:paraId="E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E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E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E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E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E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E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E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ED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E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2026 году</w:t>
      </w:r>
    </w:p>
    <w:p w14:paraId="EF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дошкольного образования в рамках </w:t>
            </w:r>
            <w:r>
              <w:rPr>
                <w:rFonts w:ascii="Times New Roman" w:hAnsi="Times New Roman"/>
                <w:sz w:val="24"/>
              </w:rPr>
              <w:t>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</w:tbl>
    <w:p w14:paraId="44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5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6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Все лучшее детям</w:t>
      </w:r>
      <w:r>
        <w:rPr>
          <w:rFonts w:ascii="Times New Roman" w:hAnsi="Times New Roman"/>
          <w:sz w:val="24"/>
        </w:rPr>
        <w:t>»</w:t>
      </w:r>
    </w:p>
    <w:p w14:paraId="47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8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9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лучшее детям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</w:t>
            </w:r>
            <w:r>
              <w:rPr>
                <w:rFonts w:ascii="Times New Roman" w:hAnsi="Times New Roman"/>
                <w:sz w:val="24"/>
              </w:rPr>
              <w:t>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</w:t>
            </w:r>
            <w:r>
              <w:rPr>
                <w:rFonts w:ascii="Times New Roman" w:hAnsi="Times New Roman"/>
                <w:sz w:val="24"/>
              </w:rPr>
              <w:t>Все лучшее детям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5A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B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5C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Обновление </w:t>
            </w:r>
            <w:r>
              <w:rPr>
                <w:rFonts w:ascii="Times New Roman" w:hAnsi="Times New Roman"/>
                <w:sz w:val="24"/>
              </w:rPr>
              <w:t>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и </w:t>
            </w:r>
            <w:r>
              <w:rPr>
                <w:rStyle w:val="Style_5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87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8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1" w:name="P688"/>
      <w:bookmarkEnd w:id="1"/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89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 и </w:t>
            </w:r>
            <w:r>
              <w:rPr>
                <w:rStyle w:val="Style_5_ch"/>
                <w:sz w:val="22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</w:rPr>
              <w:t>от общего количества общеобразовательных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</w:tbl>
    <w:p w14:paraId="BC01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2" w:name="P804"/>
      <w:bookmarkEnd w:id="2"/>
    </w:p>
    <w:p w14:paraId="BD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BE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</w:rPr>
              <w:t>средств обучения и воспитания для кабинетов труда и ОБЗР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E7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8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bookmarkStart w:id="3" w:name="P877"/>
      <w:bookmarkEnd w:id="3"/>
      <w:r>
        <w:rPr>
          <w:rFonts w:ascii="Times New Roman" w:hAnsi="Times New Roman"/>
          <w:sz w:val="24"/>
        </w:rPr>
        <w:t>5. Финансовое обеспечение проекта</w:t>
      </w:r>
    </w:p>
    <w:p w14:paraId="E9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E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F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F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F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F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F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F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F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F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F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FB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shd w:fill="auto" w:val="clear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11 426,58</w:t>
            </w:r>
          </w:p>
        </w:tc>
        <w:tc>
          <w:tcPr>
            <w:tcW w:type="dxa" w:w="1562"/>
            <w:shd w:fill="auto" w:val="clear"/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shd w:fill="auto" w:val="clear"/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0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0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11 426,93</w:t>
            </w:r>
          </w:p>
        </w:tc>
      </w:tr>
      <w:tr>
        <w:tc>
          <w:tcPr>
            <w:tcW w:type="dxa" w:w="3503"/>
            <w:vAlign w:val="center"/>
          </w:tcPr>
          <w:p w14:paraId="03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0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  <w:tc>
          <w:tcPr>
            <w:tcW w:type="dxa" w:w="1562"/>
            <w:shd w:fill="auto" w:val="clear"/>
          </w:tcPr>
          <w:p w14:paraId="0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shd w:fill="auto" w:val="clear"/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0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0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0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</w:tr>
      <w:tr>
        <w:tc>
          <w:tcPr>
            <w:tcW w:type="dxa" w:w="3503"/>
            <w:vAlign w:val="center"/>
          </w:tcPr>
          <w:p w14:paraId="0B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0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6 210,13</w:t>
            </w:r>
          </w:p>
        </w:tc>
        <w:tc>
          <w:tcPr>
            <w:tcW w:type="dxa" w:w="1562"/>
            <w:shd w:fill="auto" w:val="clear"/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shd w:fill="auto" w:val="clear"/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1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1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1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6 210,13</w:t>
            </w:r>
          </w:p>
        </w:tc>
      </w:tr>
      <w:tr>
        <w:tc>
          <w:tcPr>
            <w:tcW w:type="dxa" w:w="3503"/>
            <w:vAlign w:val="center"/>
          </w:tcPr>
          <w:p w14:paraId="13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1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8,17</w:t>
            </w:r>
          </w:p>
        </w:tc>
        <w:tc>
          <w:tcPr>
            <w:tcW w:type="dxa" w:w="1562"/>
            <w:shd w:fill="auto" w:val="clear"/>
          </w:tcPr>
          <w:p w14:paraId="1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1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8,17</w:t>
            </w:r>
          </w:p>
        </w:tc>
      </w:tr>
      <w:tr>
        <w:tc>
          <w:tcPr>
            <w:tcW w:type="dxa" w:w="3503"/>
            <w:vAlign w:val="center"/>
          </w:tcPr>
          <w:p w14:paraId="1B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1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1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2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2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23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24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проведение конкурсного отбора на </w:t>
            </w: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приобретен</w:t>
            </w:r>
            <w:r>
              <w:rPr>
                <w:rFonts w:ascii="Times New Roman" w:hAnsi="Times New Roman"/>
                <w:sz w:val="24"/>
              </w:rPr>
              <w:t xml:space="preserve">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поставка </w:t>
            </w:r>
            <w:r>
              <w:rPr>
                <w:rFonts w:ascii="Times New Roman" w:hAnsi="Times New Roman"/>
                <w:sz w:val="24"/>
              </w:rPr>
              <w:t>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790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A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B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Педагоги и наставники</w:t>
      </w:r>
      <w:r>
        <w:rPr>
          <w:rFonts w:ascii="Times New Roman" w:hAnsi="Times New Roman"/>
          <w:sz w:val="24"/>
        </w:rPr>
        <w:t>»</w:t>
      </w:r>
    </w:p>
    <w:p w14:paraId="7C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D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E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 и наставники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</w:t>
            </w:r>
            <w:r>
              <w:rPr>
                <w:rFonts w:ascii="Times New Roman" w:hAnsi="Times New Roman"/>
                <w:sz w:val="24"/>
              </w:rPr>
              <w:t>Педагоги и наставники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8F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0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91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</w:t>
            </w:r>
            <w:r>
              <w:rPr>
                <w:rFonts w:ascii="Times New Roman" w:hAnsi="Times New Roman"/>
                <w:sz w:val="24"/>
              </w:rPr>
              <w:t xml:space="preserve">, обеспечение деятельности советников директора по воспитанию и взаимодействию с </w:t>
            </w:r>
            <w:r>
              <w:rPr>
                <w:rFonts w:ascii="Times New Roman" w:hAnsi="Times New Roman"/>
                <w:sz w:val="24"/>
              </w:rPr>
              <w:t>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D6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70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D80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</w:tr>
    </w:tbl>
    <w:p w14:paraId="29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A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2B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 по обеспечению деятельности </w:t>
            </w:r>
            <w:r>
              <w:rPr>
                <w:rFonts w:ascii="Times New Roman" w:hAnsi="Times New Roman"/>
                <w:sz w:val="24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привлечения </w:t>
            </w:r>
            <w:r>
              <w:rPr>
                <w:rFonts w:ascii="Times New Roman" w:hAnsi="Times New Roman"/>
                <w:sz w:val="24"/>
              </w:rPr>
              <w:t>квалифицированных кадров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6C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D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6E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shd w:fill="auto" w:val="clear"/>
            <w:vAlign w:val="center"/>
          </w:tcPr>
          <w:p w14:paraId="6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shd w:fill="auto" w:val="clear"/>
            <w:vAlign w:val="center"/>
          </w:tcPr>
          <w:p w14:paraId="7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1563"/>
            <w:shd w:fill="auto" w:val="clear"/>
            <w:vAlign w:val="center"/>
          </w:tcPr>
          <w:p w14:paraId="7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shd w:fill="auto" w:val="clear"/>
            <w:vAlign w:val="center"/>
          </w:tcPr>
          <w:p w14:paraId="7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shd w:fill="auto" w:val="clear"/>
            <w:vAlign w:val="center"/>
          </w:tcPr>
          <w:p w14:paraId="7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shd w:fill="auto" w:val="clear"/>
            <w:vAlign w:val="center"/>
          </w:tcPr>
          <w:p w14:paraId="7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shd w:fill="auto" w:val="clear"/>
            <w:vAlign w:val="center"/>
          </w:tcPr>
          <w:p w14:paraId="7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shd w:fill="auto" w:val="clear"/>
            <w:vAlign w:val="center"/>
          </w:tcPr>
          <w:p w14:paraId="7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shd w:fill="auto" w:val="clear"/>
            <w:vAlign w:val="center"/>
          </w:tcPr>
          <w:p w14:paraId="7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7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shd w:fill="auto" w:val="clear"/>
            <w:vAlign w:val="center"/>
          </w:tcPr>
          <w:p w14:paraId="7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shd w:fill="auto" w:val="clear"/>
            <w:vAlign w:val="center"/>
          </w:tcPr>
          <w:p w14:paraId="7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shd w:fill="auto" w:val="clear"/>
            <w:vAlign w:val="center"/>
          </w:tcPr>
          <w:p w14:paraId="7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shd w:fill="auto" w:val="clear"/>
            <w:vAlign w:val="center"/>
          </w:tcPr>
          <w:p w14:paraId="7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shd w:fill="auto" w:val="clear"/>
            <w:vAlign w:val="center"/>
          </w:tcPr>
          <w:p w14:paraId="7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shd w:fill="auto" w:val="clear"/>
            <w:vAlign w:val="center"/>
          </w:tcPr>
          <w:p w14:paraId="7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shd w:fill="auto" w:val="clear"/>
            <w:vAlign w:val="center"/>
          </w:tcPr>
          <w:p w14:paraId="7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80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218 051.96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216 896.09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211 449.53</w:t>
            </w:r>
          </w:p>
        </w:tc>
        <w:tc>
          <w:tcPr>
            <w:tcW w:type="dxa" w:w="1556"/>
            <w:shd w:fill="auto" w:val="clear"/>
          </w:tcPr>
          <w:p w14:paraId="8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8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646 397.58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88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217 343.26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215 996.78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210 350.85</w:t>
            </w:r>
          </w:p>
        </w:tc>
        <w:tc>
          <w:tcPr>
            <w:tcW w:type="dxa" w:w="1556"/>
            <w:shd w:fill="auto" w:val="clear"/>
          </w:tcPr>
          <w:p w14:paraId="8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8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8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643 690.89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90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708.70</w:t>
            </w:r>
          </w:p>
        </w:tc>
        <w:tc>
          <w:tcPr>
            <w:tcW w:type="dxa" w:w="156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899.31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1 098.68</w:t>
            </w:r>
          </w:p>
        </w:tc>
        <w:tc>
          <w:tcPr>
            <w:tcW w:type="dxa" w:w="1556"/>
            <w:shd w:fill="auto" w:val="clear"/>
          </w:tcPr>
          <w:p w14:paraId="9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9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9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9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2 706.69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98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9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9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9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9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9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9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9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A0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A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A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A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A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A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A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A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A8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9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A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AB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C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D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DC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педагогических работников, осуществляющих классное руководство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FD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0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соглашения о порядке и условиях предоставления </w:t>
            </w:r>
            <w:r>
              <w:rPr>
                <w:rFonts w:ascii="Times New Roman" w:hAnsi="Times New Roman"/>
                <w:sz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0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3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</w:t>
            </w:r>
            <w:r>
              <w:rPr>
                <w:rFonts w:ascii="Times New Roman" w:hAnsi="Times New Roman"/>
                <w:sz w:val="24"/>
              </w:rPr>
              <w:t xml:space="preserve">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муниципальное </w:t>
            </w:r>
            <w:r>
              <w:rPr>
                <w:rFonts w:ascii="Times New Roman" w:hAnsi="Times New Roman"/>
                <w:sz w:val="24"/>
              </w:rPr>
              <w:t>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39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42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</w:tbl>
    <w:p w14:paraId="5904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A04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B04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Семейные ценности и инфраструктура культуры</w:t>
      </w:r>
      <w:r>
        <w:rPr>
          <w:rFonts w:ascii="Times New Roman" w:hAnsi="Times New Roman"/>
          <w:sz w:val="24"/>
        </w:rPr>
        <w:t>»</w:t>
      </w:r>
    </w:p>
    <w:p w14:paraId="5C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D0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E0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программа Челябинской области «Развитие культуры в Челябинской области», утвержденная Постановлением Правительства Челябинской области от 16 декабря 2020 года </w:t>
            </w: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684-П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6F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00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710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9C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D0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9E0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</w:tr>
    </w:tbl>
    <w:p w14:paraId="D1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20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D304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2"/>
        <w:gridCol w:w="1771"/>
        <w:gridCol w:w="1894"/>
      </w:tblGrid>
      <w:tr>
        <w:tc>
          <w:tcPr>
            <w:tcW w:type="dxa" w:w="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44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военно-исторических лагерей «Страна Героев»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уникальной образовательной программы и создание современной инфраструктуры для развития навыков физической и военной подготовки детей и молодежи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для воспитания гармонично развитой и социально ответственной личности</w:t>
            </w:r>
          </w:p>
        </w:tc>
      </w:tr>
    </w:tbl>
    <w:p w14:paraId="FC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D04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FE040000">
      <w:pPr>
        <w:pStyle w:val="Style_2"/>
        <w:ind/>
        <w:jc w:val="both"/>
        <w:rPr>
          <w:rFonts w:ascii="Times New Roman" w:hAnsi="Times New Roman"/>
          <w:sz w:val="10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F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0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0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0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0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0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0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0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0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0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0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0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0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0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0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0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0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10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shd w:fill="auto" w:val="clear"/>
          </w:tcPr>
          <w:p w14:paraId="1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shd w:fill="auto" w:val="clear"/>
          </w:tcPr>
          <w:p w14:paraId="12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shd w:fill="auto" w:val="clear"/>
          </w:tcPr>
          <w:p w14:paraId="13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shd w:fill="auto" w:val="clear"/>
          </w:tcPr>
          <w:p w14:paraId="1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15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16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17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vAlign w:val="center"/>
          </w:tcPr>
          <w:p w14:paraId="18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19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1A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1B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1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1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1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1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20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2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shd w:fill="auto" w:val="clear"/>
          </w:tcPr>
          <w:p w14:paraId="22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shd w:fill="auto" w:val="clear"/>
          </w:tcPr>
          <w:p w14:paraId="23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shd w:fill="auto" w:val="clear"/>
          </w:tcPr>
          <w:p w14:paraId="2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25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26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27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vAlign w:val="center"/>
          </w:tcPr>
          <w:p w14:paraId="28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29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2A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2B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2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2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2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2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30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3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32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33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3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35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36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37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38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39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военно-исторического лагеря «Страна Героев»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из бюджета Челябинской области на организацию и проведение военно-исторического лагеря "Страна Героев"</w:t>
            </w:r>
            <w:r>
              <w:t xml:space="preserve">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 с Министерством культуры Челябинской области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организация и проведение военно-исторического лагеря "Страна Героев"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объекта:</w:t>
            </w:r>
            <w:r>
              <w:t xml:space="preserve"> </w:t>
            </w:r>
            <w:r>
              <w:t>з</w:t>
            </w:r>
            <w:r>
              <w:rPr>
                <w:rFonts w:ascii="Times New Roman" w:hAnsi="Times New Roman"/>
                <w:sz w:val="24"/>
              </w:rPr>
              <w:t>аключение соглашений о порядке и условиях предоставления субсидии на иные цели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</w:t>
            </w: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товары, работы, услуги приобретены, представлен отчет о расходах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субсидии на иные цели; отчет о достижении значений результатов предоставления субсидий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иные цели; отчет о достижении значений результатов предоставления субсидии</w:t>
            </w:r>
          </w:p>
        </w:tc>
      </w:tr>
    </w:tbl>
    <w:p w14:paraId="76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705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80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90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Мы вместе (Воспитание гармонично развитой личности)</w:t>
      </w:r>
      <w:r>
        <w:rPr>
          <w:rFonts w:ascii="Times New Roman" w:hAnsi="Times New Roman"/>
          <w:sz w:val="24"/>
        </w:rPr>
        <w:t>»</w:t>
      </w:r>
    </w:p>
    <w:p w14:paraId="7A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B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C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вместе (Воспитание гармонично развитой личности)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утвержденной постановлением Правительства Челябинской области от 30.12.202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г. №780-П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«Региональный проект «Мы вместе (Воспитание гармонично развитой личности)»</w:t>
            </w:r>
          </w:p>
        </w:tc>
      </w:tr>
    </w:tbl>
    <w:p w14:paraId="8D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E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8F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r>
              <w:rPr>
                <w:rFonts w:ascii="Times New Roman" w:hAnsi="Times New Roman"/>
                <w:color w:val="000000"/>
                <w:sz w:val="24"/>
              </w:rPr>
              <w:t>8,7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51,47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56,18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19,4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21,18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14:paraId="D4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5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D6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</w:tr>
    </w:tbl>
    <w:p w14:paraId="27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806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4" w:name="_GoBack"/>
      <w:bookmarkEnd w:id="4"/>
    </w:p>
    <w:p w14:paraId="290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2A0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5"/>
        <w:gridCol w:w="1771"/>
        <w:gridCol w:w="1891"/>
      </w:tblGrid>
      <w:tr>
        <w:tc>
          <w:tcPr>
            <w:tcW w:type="dxa" w:w="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«Соревнования по лазертагу»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«Школа волонтера»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мероприятия: форум-семинар для лидеров молодежных общественных организаций и </w:t>
            </w:r>
            <w:r>
              <w:rPr>
                <w:rFonts w:ascii="Times New Roman" w:hAnsi="Times New Roman"/>
                <w:sz w:val="24"/>
              </w:rPr>
              <w:t>объединений;</w:t>
            </w:r>
          </w:p>
          <w:p w14:paraId="6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фестиваль моды и музыки «Половодье»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</w:tbl>
    <w:p w14:paraId="6C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D0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6E0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6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7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7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7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7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7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7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7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7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7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7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7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7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7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7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7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7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80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shd w:fill="auto" w:val="clear"/>
          </w:tcPr>
          <w:p w14:paraId="8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62"/>
            <w:shd w:fill="auto" w:val="clear"/>
          </w:tcPr>
          <w:p w14:paraId="82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9"/>
            <w:shd w:fill="auto" w:val="clear"/>
          </w:tcPr>
          <w:p w14:paraId="8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6"/>
            <w:shd w:fill="auto" w:val="clear"/>
          </w:tcPr>
          <w:p w14:paraId="8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85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6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87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2 250.00</w:t>
            </w:r>
          </w:p>
        </w:tc>
      </w:tr>
      <w:tr>
        <w:tc>
          <w:tcPr>
            <w:tcW w:type="dxa" w:w="3503"/>
            <w:vAlign w:val="center"/>
          </w:tcPr>
          <w:p w14:paraId="88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shd w:fill="auto" w:val="clear"/>
          </w:tcPr>
          <w:p w14:paraId="89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8A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8B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C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8D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8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8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vAlign w:val="center"/>
          </w:tcPr>
          <w:p w14:paraId="90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shd w:fill="auto" w:val="clear"/>
          </w:tcPr>
          <w:p w14:paraId="9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62"/>
            <w:shd w:fill="auto" w:val="clear"/>
          </w:tcPr>
          <w:p w14:paraId="92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9"/>
            <w:shd w:fill="auto" w:val="clear"/>
          </w:tcPr>
          <w:p w14:paraId="9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6"/>
            <w:shd w:fill="auto" w:val="clear"/>
          </w:tcPr>
          <w:p w14:paraId="9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95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96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97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2 220.00</w:t>
            </w:r>
          </w:p>
        </w:tc>
      </w:tr>
      <w:tr>
        <w:tc>
          <w:tcPr>
            <w:tcW w:type="dxa" w:w="3503"/>
            <w:vAlign w:val="center"/>
          </w:tcPr>
          <w:p w14:paraId="98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shd w:fill="auto" w:val="clear"/>
          </w:tcPr>
          <w:p w14:paraId="99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62"/>
            <w:shd w:fill="auto" w:val="clear"/>
          </w:tcPr>
          <w:p w14:paraId="9A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9"/>
            <w:shd w:fill="auto" w:val="clear"/>
          </w:tcPr>
          <w:p w14:paraId="9B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6"/>
            <w:shd w:fill="auto" w:val="clear"/>
          </w:tcPr>
          <w:p w14:paraId="9C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9D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9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9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30.00</w:t>
            </w:r>
          </w:p>
        </w:tc>
      </w:tr>
      <w:tr>
        <w:tc>
          <w:tcPr>
            <w:tcW w:type="dxa" w:w="3503"/>
            <w:vAlign w:val="center"/>
          </w:tcPr>
          <w:p w14:paraId="A0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shd w:fill="auto" w:val="clear"/>
          </w:tcPr>
          <w:p w14:paraId="A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shd w:fill="auto" w:val="clear"/>
          </w:tcPr>
          <w:p w14:paraId="A2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shd w:fill="auto" w:val="clear"/>
          </w:tcPr>
          <w:p w14:paraId="A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A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A5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shd w:fill="auto" w:val="clear"/>
          </w:tcPr>
          <w:p w14:paraId="A6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shd w:fill="auto" w:val="clear"/>
          </w:tcPr>
          <w:p w14:paraId="A7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A8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90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AA0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8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9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C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Заключение соглашения </w:t>
            </w:r>
            <w:r>
              <w:rPr>
                <w:rFonts w:ascii="Times New Roman" w:hAnsi="Times New Roman"/>
                <w:sz w:val="24"/>
              </w:rPr>
              <w:t>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D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D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 о </w:t>
            </w:r>
            <w:r>
              <w:rPr>
                <w:rFonts w:ascii="Times New Roman" w:hAnsi="Times New Roman"/>
                <w:color w:val="000000"/>
                <w:sz w:val="24"/>
              </w:rPr>
              <w:t>приемке</w:t>
            </w:r>
            <w:r>
              <w:rPr>
                <w:rFonts w:ascii="Times New Roman" w:hAnsi="Times New Roman"/>
                <w:color w:val="000000"/>
                <w:sz w:val="24"/>
              </w:rPr>
              <w:t> 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</w:t>
            </w:r>
            <w:r>
              <w:rPr>
                <w:rFonts w:ascii="Times New Roman" w:hAnsi="Times New Roman"/>
                <w:sz w:val="24"/>
              </w:rPr>
              <w:t xml:space="preserve">мероприятия (результата): </w:t>
            </w:r>
          </w:p>
          <w:p w14:paraId="E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</w:t>
            </w:r>
            <w:r>
              <w:rPr>
                <w:rFonts w:ascii="Times New Roman" w:hAnsi="Times New Roman"/>
                <w:sz w:val="24"/>
              </w:rPr>
              <w:t>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</w:t>
            </w:r>
            <w:r>
              <w:rPr>
                <w:rFonts w:ascii="Times New Roman" w:hAnsi="Times New Roman"/>
                <w:sz w:val="24"/>
              </w:rPr>
              <w:t>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F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F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0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</w:t>
            </w:r>
            <w:r>
              <w:rPr>
                <w:rFonts w:ascii="Times New Roman" w:hAnsi="Times New Roman"/>
                <w:sz w:val="24"/>
              </w:rPr>
              <w:t>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</w:t>
            </w:r>
            <w:r>
              <w:rPr>
                <w:rFonts w:ascii="Times New Roman" w:hAnsi="Times New Roman"/>
                <w:sz w:val="24"/>
              </w:rPr>
              <w:t>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1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2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2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</w:t>
            </w:r>
            <w:r>
              <w:rPr>
                <w:rFonts w:ascii="Times New Roman" w:hAnsi="Times New Roman"/>
                <w:sz w:val="24"/>
              </w:rPr>
              <w:t>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3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</w:tbl>
    <w:p w14:paraId="43070000">
      <w:pPr>
        <w:pStyle w:val="Style_2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2"/>
    <w:next w:val="Style_6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annotation text"/>
    <w:basedOn w:val="Style_6"/>
    <w:link w:val="Style_10_ch"/>
    <w:pPr>
      <w:spacing w:line="240" w:lineRule="auto"/>
      <w:ind/>
    </w:pPr>
    <w:rPr>
      <w:sz w:val="20"/>
    </w:rPr>
  </w:style>
  <w:style w:styleId="Style_10_ch" w:type="character">
    <w:name w:val="annotation text"/>
    <w:basedOn w:val="Style_6_ch"/>
    <w:link w:val="Style_10"/>
    <w:rPr>
      <w:sz w:val="20"/>
    </w:rPr>
  </w:style>
  <w:style w:styleId="Style_11" w:type="paragraph">
    <w:name w:val="toc 4"/>
    <w:next w:val="Style_6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6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6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6" w:type="paragraph">
    <w:name w:val="annotation subject"/>
    <w:basedOn w:val="Style_10"/>
    <w:next w:val="Style_10"/>
    <w:link w:val="Style_16_ch"/>
    <w:rPr>
      <w:b w:val="1"/>
    </w:rPr>
  </w:style>
  <w:style w:styleId="Style_16_ch" w:type="character">
    <w:name w:val="annotation subject"/>
    <w:basedOn w:val="Style_10_ch"/>
    <w:link w:val="Style_16"/>
    <w:rPr>
      <w:b w:val="1"/>
    </w:rPr>
  </w:style>
  <w:style w:styleId="Style_17" w:type="paragraph">
    <w:name w:val="footer"/>
    <w:basedOn w:val="Style_6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6_ch"/>
    <w:link w:val="Style_17"/>
  </w:style>
  <w:style w:styleId="Style_18" w:type="paragraph">
    <w:name w:val="Balloon Text"/>
    <w:basedOn w:val="Style_6"/>
    <w:link w:val="Style_18_ch"/>
    <w:pPr>
      <w:spacing w:after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6_ch"/>
    <w:link w:val="Style_18"/>
    <w:rPr>
      <w:rFonts w:ascii="Segoe UI" w:hAnsi="Segoe UI"/>
      <w:sz w:val="18"/>
    </w:rPr>
  </w:style>
  <w:style w:styleId="Style_19" w:type="paragraph">
    <w:name w:val="toc 3"/>
    <w:next w:val="Style_6"/>
    <w:link w:val="Style_19_ch"/>
    <w:uiPriority w:val="39"/>
    <w:pPr>
      <w:ind w:firstLine="0"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font6"/>
    <w:basedOn w:val="Style_6"/>
    <w:link w:val="Style_2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0_ch" w:type="character">
    <w:name w:val="font6"/>
    <w:basedOn w:val="Style_6_ch"/>
    <w:link w:val="Style_20"/>
    <w:rPr>
      <w:rFonts w:ascii="Times New Roman" w:hAnsi="Times New Roman"/>
      <w:sz w:val="20"/>
    </w:rPr>
  </w:style>
  <w:style w:styleId="Style_21" w:type="paragraph">
    <w:name w:val="heading 5"/>
    <w:next w:val="Style_6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heading 1"/>
    <w:next w:val="Style_6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5" w:type="paragraph">
    <w:name w:val="fontstyle01"/>
    <w:basedOn w:val="Style_8"/>
    <w:link w:val="Style_5_ch"/>
    <w:rPr>
      <w:rFonts w:ascii="Times New Roman" w:hAnsi="Times New Roman"/>
      <w:b w:val="0"/>
      <w:i w:val="0"/>
      <w:color w:val="000000"/>
      <w:sz w:val="24"/>
    </w:rPr>
  </w:style>
  <w:style w:styleId="Style_5_ch" w:type="character">
    <w:name w:val="fontstyle01"/>
    <w:basedOn w:val="Style_8_ch"/>
    <w:link w:val="Style_5"/>
    <w:rPr>
      <w:rFonts w:ascii="Times New Roman" w:hAnsi="Times New Roman"/>
      <w:b w:val="0"/>
      <w:i w:val="0"/>
      <w:color w:val="000000"/>
      <w:sz w:val="24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6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annotation reference"/>
    <w:basedOn w:val="Style_8"/>
    <w:link w:val="Style_26_ch"/>
    <w:rPr>
      <w:sz w:val="16"/>
    </w:rPr>
  </w:style>
  <w:style w:styleId="Style_26_ch" w:type="character">
    <w:name w:val="annotation reference"/>
    <w:basedOn w:val="Style_8_ch"/>
    <w:link w:val="Style_26"/>
    <w:rPr>
      <w:sz w:val="16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6"/>
    <w:link w:val="Style_28_ch"/>
    <w:uiPriority w:val="39"/>
    <w:pPr>
      <w:ind w:firstLine="0"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toc 8"/>
    <w:next w:val="Style_6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6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6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Гиперссылка1"/>
    <w:link w:val="Style_33_ch"/>
    <w:rPr>
      <w:color w:val="0000FF"/>
      <w:u w:val="single"/>
    </w:rPr>
  </w:style>
  <w:style w:styleId="Style_33_ch" w:type="character">
    <w:name w:val="Гиперссылка1"/>
    <w:link w:val="Style_33"/>
    <w:rPr>
      <w:color w:val="0000FF"/>
      <w:u w:val="single"/>
    </w:rPr>
  </w:style>
  <w:style w:styleId="Style_34" w:type="paragraph">
    <w:name w:val="Title"/>
    <w:next w:val="Style_6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6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6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2025-03-17T09:49:14Z</dcterms:modified>
</cp:coreProperties>
</file>