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9498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Приложение № 1</w:t>
      </w:r>
    </w:p>
    <w:p w14:paraId="04000000">
      <w:pPr>
        <w:widowControl w:val="0"/>
        <w:spacing w:after="0" w:line="240" w:lineRule="auto"/>
        <w:ind w:firstLine="9498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постановлению администрации </w:t>
      </w:r>
    </w:p>
    <w:p w14:paraId="05000000">
      <w:pPr>
        <w:widowControl w:val="0"/>
        <w:spacing w:after="0" w:line="240" w:lineRule="auto"/>
        <w:ind w:firstLine="9498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города Магнитогорска</w:t>
      </w:r>
    </w:p>
    <w:p w14:paraId="06000000">
      <w:pPr>
        <w:widowControl w:val="0"/>
        <w:spacing w:after="0" w:line="240" w:lineRule="auto"/>
        <w:ind w:firstLine="9498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 07.02.2025 № 1153-П</w:t>
      </w:r>
    </w:p>
    <w:p w14:paraId="07000000">
      <w:pPr>
        <w:pStyle w:val="Style_2"/>
        <w:rPr>
          <w:rFonts w:ascii="Times New Roman" w:hAnsi="Times New Roman"/>
          <w:sz w:val="24"/>
        </w:rPr>
      </w:pPr>
    </w:p>
    <w:p w14:paraId="08000000">
      <w:pPr>
        <w:pStyle w:val="Style_2"/>
        <w:ind w:firstLine="9498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 xml:space="preserve">№ </w:t>
      </w:r>
      <w:r>
        <w:rPr>
          <w:rFonts w:ascii="Times New Roman" w:hAnsi="Times New Roman"/>
          <w:sz w:val="24"/>
        </w:rPr>
        <w:t>1</w:t>
      </w:r>
    </w:p>
    <w:p w14:paraId="09000000">
      <w:pPr>
        <w:pStyle w:val="Style_2"/>
        <w:ind w:firstLine="9498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A000000">
      <w:pPr>
        <w:pStyle w:val="Style_2"/>
        <w:ind w:firstLine="9498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«Развитие образования в городе Магнитогорске»</w:t>
      </w:r>
    </w:p>
    <w:p w14:paraId="0B000000">
      <w:pPr>
        <w:pStyle w:val="Style_2"/>
        <w:ind w:firstLine="9498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2025-2030 годы</w:t>
      </w:r>
    </w:p>
    <w:p w14:paraId="0C000000">
      <w:pPr>
        <w:pStyle w:val="Style_2"/>
        <w:ind/>
        <w:jc w:val="right"/>
        <w:rPr>
          <w:rFonts w:ascii="Times New Roman" w:hAnsi="Times New Roman"/>
          <w:sz w:val="24"/>
        </w:rPr>
      </w:pPr>
    </w:p>
    <w:p w14:paraId="0D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E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0F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«Развитие образования в городе Магнитогорске» на 2025-2030 годы</w:t>
      </w:r>
    </w:p>
    <w:p w14:paraId="1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1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2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4"/>
        <w:gridCol w:w="8238"/>
      </w:tblGrid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Управление культуры администрации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 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2025-2030</w:t>
            </w:r>
            <w:r>
              <w:rPr>
                <w:rFonts w:ascii="Times New Roman" w:hAnsi="Times New Roman"/>
                <w:sz w:val="24"/>
              </w:rPr>
              <w:t xml:space="preserve"> годы</w:t>
            </w:r>
          </w:p>
        </w:tc>
      </w:tr>
      <w:tr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0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 1. Создание условий для эффективного развития образования, </w:t>
            </w:r>
            <w:r>
              <w:rPr>
                <w:rFonts w:ascii="Times New Roman" w:hAnsi="Times New Roman"/>
                <w:sz w:val="24"/>
              </w:rPr>
              <w:t>направленного на обеспечение доступности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качественного образования, соответствующего требованиям современного инновационного социально ориентированного развития города Магнитогорска; развитие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кадров; предоставление равных возможностей для получения гражданами качественного образования </w:t>
            </w:r>
            <w:r>
              <w:rPr>
                <w:rFonts w:ascii="Times New Roman" w:hAnsi="Times New Roman"/>
                <w:sz w:val="24"/>
              </w:rPr>
              <w:t xml:space="preserve">всех видов и уровней;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городе Магнитогорске;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города Магнитогорска, содействие социальному, культурному, духовному и физическому развитию молодежи, проживающей на территории города Магнитогорска; создание условий для эффективного развития системы профилактики безнадзорности и правонарушений несовершеннолетних; </w:t>
            </w:r>
            <w:r>
              <w:rPr>
                <w:rFonts w:ascii="Times New Roman" w:hAnsi="Times New Roman"/>
                <w:sz w:val="24"/>
              </w:rPr>
              <w:t>реализация на территории Челябинской области государственной политики в сфере культуры, искусства, а также в области образования в сфере культуры и искусства</w:t>
            </w:r>
          </w:p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</w:t>
            </w:r>
            <w:r>
              <w:rPr>
                <w:rFonts w:ascii="Times New Roman" w:hAnsi="Times New Roman"/>
                <w:sz w:val="24"/>
              </w:rPr>
              <w:t>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2. </w:t>
            </w:r>
          </w:p>
          <w:p w14:paraId="21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color w:val="000000"/>
                <w:sz w:val="24"/>
              </w:rPr>
              <w:t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color w:val="000000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</w:t>
            </w:r>
            <w:r>
              <w:rPr>
                <w:rFonts w:ascii="Times New Roman" w:hAnsi="Times New Roman"/>
                <w:sz w:val="24"/>
              </w:rPr>
              <w:t>программ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sz w:val="24"/>
              </w:rPr>
              <w:t>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sz w:val="24"/>
              </w:rPr>
              <w:t>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 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 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. Развитие образовательной среды, обеспечивающей повышение </w:t>
            </w:r>
            <w:r>
              <w:rPr>
                <w:rFonts w:ascii="Times New Roman" w:hAnsi="Times New Roman"/>
                <w:sz w:val="24"/>
              </w:rPr>
              <w:t>качества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</w:t>
            </w:r>
            <w:r>
              <w:rPr>
                <w:rFonts w:ascii="Times New Roman" w:hAnsi="Times New Roman"/>
                <w:sz w:val="24"/>
              </w:rPr>
              <w:t xml:space="preserve"> «Дошкольное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Направление 2 </w:t>
            </w:r>
            <w:r>
              <w:rPr>
                <w:rFonts w:ascii="Times New Roman" w:hAnsi="Times New Roman"/>
                <w:sz w:val="24"/>
              </w:rPr>
              <w:t>«Общее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 «Дополнительное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«Отдых и оздоровление детей»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«Реализация молодёжной политики»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6 «Сопровождение деятельности образовательных учреждений»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59 231 177,67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732-П.</w:t>
            </w:r>
          </w:p>
          <w:p w14:paraId="3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«Повышение эффективности реализации молодежной политики в Челябинской области», утвержденная постановлением Правительства Челябинской области от 30.12.2020 г. № 780-П</w:t>
            </w:r>
          </w:p>
        </w:tc>
      </w:tr>
    </w:tbl>
    <w:p w14:paraId="3E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3F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40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41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42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43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муниципальной программы</w:t>
      </w:r>
    </w:p>
    <w:p w14:paraId="44000000">
      <w:pPr>
        <w:pStyle w:val="Style_2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3"/>
        <w:gridCol w:w="3221"/>
        <w:gridCol w:w="1259"/>
        <w:gridCol w:w="2240"/>
        <w:gridCol w:w="909"/>
        <w:gridCol w:w="850"/>
        <w:gridCol w:w="851"/>
        <w:gridCol w:w="850"/>
        <w:gridCol w:w="851"/>
        <w:gridCol w:w="780"/>
        <w:gridCol w:w="2372"/>
      </w:tblGrid>
      <w:tr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п/п</w:t>
            </w:r>
          </w:p>
        </w:tc>
        <w:tc>
          <w:tcPr>
            <w:tcW w:type="dxa" w:w="32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2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91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Цель муниципальной программы «Создание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города Магнитогорска; развитие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кадров; предоставление равных возможностей для получения гражданами качественного образования всех видов и уровней;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городе Магнитогорске;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города Магнитогорска, содействие социальному, культурному, духовному и физическому развитию молодежи, проживающей на территории города Магнитогорска; создание условий для эффективного развития системы профилактики безнадзорности и правонарушений несовершеннолетних; реализация на территории Челябинской области государственной политики в сфере культуры, искусства, а также в области образования в сфере культуры и искусства»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  <w:tc>
          <w:tcPr>
            <w:tcW w:type="dxa" w:w="1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90,1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90,6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90,7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56,18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</w:tbl>
    <w:p w14:paraId="8A000000">
      <w:pPr>
        <w:pStyle w:val="Style_2"/>
        <w:ind/>
        <w:jc w:val="center"/>
        <w:rPr>
          <w:rFonts w:ascii="Times New Roman" w:hAnsi="Times New Roman"/>
          <w:sz w:val="24"/>
        </w:rPr>
      </w:pPr>
      <w:bookmarkStart w:id="1" w:name="P688"/>
      <w:bookmarkEnd w:id="1"/>
    </w:p>
    <w:p w14:paraId="8B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муниципальной программы в </w:t>
      </w:r>
      <w:r>
        <w:rPr>
          <w:rFonts w:ascii="Times New Roman" w:hAnsi="Times New Roman"/>
          <w:sz w:val="24"/>
        </w:rPr>
        <w:t>2025</w:t>
      </w:r>
      <w:r>
        <w:rPr>
          <w:rFonts w:ascii="Times New Roman" w:hAnsi="Times New Roman"/>
          <w:sz w:val="24"/>
        </w:rPr>
        <w:t xml:space="preserve"> году</w:t>
      </w:r>
    </w:p>
    <w:p w14:paraId="8C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9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  <w:r>
              <w:rPr>
                <w:rFonts w:ascii="Times New Roman" w:hAnsi="Times New Roman"/>
                <w:sz w:val="24"/>
              </w:rPr>
              <w:t xml:space="preserve">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дошкольного, общего и </w:t>
            </w:r>
            <w:r>
              <w:rPr>
                <w:rFonts w:ascii="Times New Roman" w:hAnsi="Times New Roman"/>
                <w:sz w:val="24"/>
              </w:rPr>
              <w:t>дополнительного образования от общего количества детей и молодежи в возрасте от 1 года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90,2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EB000000">
      <w:pPr>
        <w:pStyle w:val="Style_2"/>
        <w:ind/>
        <w:jc w:val="both"/>
        <w:rPr>
          <w:rFonts w:ascii="Times New Roman" w:hAnsi="Times New Roman"/>
          <w:sz w:val="24"/>
        </w:rPr>
      </w:pPr>
      <w:bookmarkStart w:id="2" w:name="P804"/>
      <w:bookmarkEnd w:id="2"/>
    </w:p>
    <w:p w14:paraId="EC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ED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0"/>
        <w:gridCol w:w="5802"/>
        <w:gridCol w:w="5288"/>
        <w:gridCol w:w="3187"/>
      </w:tblGrid>
      <w:tr>
        <w:trPr>
          <w:tblHeader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п/п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</w:t>
            </w:r>
            <w:r>
              <w:rPr>
                <w:rFonts w:ascii="Times New Roman" w:hAnsi="Times New Roman"/>
                <w:sz w:val="24"/>
              </w:rPr>
              <w:t xml:space="preserve"> муниципальной программы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«Дошкольное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 Региональный проект «Поддержка семьи»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(2026 год)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«Организация и предоставление дошкольного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«Поддержка и развитие дошкольных образовательных учреждений»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 xml:space="preserve">Модернизация и качественное улучшение </w:t>
            </w:r>
            <w:r>
              <w:rPr>
                <w:rFonts w:ascii="Times New Roman" w:hAnsi="Times New Roman"/>
                <w:sz w:val="24"/>
              </w:rPr>
              <w:t>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Модернизация и качественное улучшение </w:t>
            </w:r>
            <w:r>
              <w:rPr>
                <w:rFonts w:ascii="Times New Roman" w:hAnsi="Times New Roman"/>
                <w:sz w:val="24"/>
              </w:rPr>
              <w:t>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</w:t>
            </w:r>
            <w:r>
              <w:rPr>
                <w:rFonts w:ascii="Times New Roman" w:hAnsi="Times New Roman"/>
                <w:sz w:val="24"/>
              </w:rPr>
              <w:t>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 «Общее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 Региональный проект «</w:t>
            </w:r>
            <w:r>
              <w:rPr>
                <w:rFonts w:ascii="Times New Roman" w:hAnsi="Times New Roman"/>
                <w:sz w:val="24"/>
              </w:rPr>
              <w:t>Все лучшее детям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</w:t>
            </w:r>
            <w:r>
              <w:rPr>
                <w:rFonts w:ascii="Times New Roman" w:hAnsi="Times New Roman"/>
                <w:sz w:val="24"/>
              </w:rPr>
              <w:t>27</w:t>
            </w:r>
            <w:r>
              <w:rPr>
                <w:rFonts w:ascii="Times New Roman" w:hAnsi="Times New Roman"/>
                <w:sz w:val="24"/>
              </w:rPr>
              <w:t xml:space="preserve">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Обновление образовательной инфраструктуры, позволяющей детям и молодёжи развивать свои способности и таланты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средств обучения и воспитания для кабинетов труда и ОБЗР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 Региональный проект «</w:t>
            </w:r>
            <w:r>
              <w:rPr>
                <w:rFonts w:ascii="Times New Roman" w:hAnsi="Times New Roman"/>
                <w:sz w:val="24"/>
              </w:rPr>
              <w:t>Педагоги и наставники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 xml:space="preserve"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</w:t>
            </w:r>
            <w:r>
              <w:rPr>
                <w:rFonts w:ascii="Times New Roman" w:hAnsi="Times New Roman"/>
                <w:sz w:val="24"/>
              </w:rPr>
              <w:t>общеобразовательных организациях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Выплата ежемесячного денежного вознаграждения за классное руководство педагогическим работникам муниципальных общеобразовательных организаций. Обеспечение </w:t>
            </w:r>
            <w:r>
              <w:rPr>
                <w:rFonts w:ascii="Times New Roman" w:hAnsi="Times New Roman"/>
                <w:sz w:val="24"/>
              </w:rPr>
              <w:t>привлечения квалифицированных кадров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дошкольного, общего и дополнительного </w:t>
            </w:r>
            <w:r>
              <w:rPr>
                <w:rFonts w:ascii="Times New Roman" w:hAnsi="Times New Roman"/>
                <w:sz w:val="24"/>
              </w:rPr>
              <w:t>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 Комплекс процессных мероприятий «Организация и предоставление общего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 Комплекс процессных мероприятий «</w:t>
            </w:r>
            <w:r>
              <w:rPr>
                <w:rFonts w:ascii="Times New Roman" w:hAnsi="Times New Roman"/>
                <w:sz w:val="24"/>
              </w:rPr>
              <w:t>Поддержка и развитие общеобразовательных учреждений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 «Дополнительное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«Организация и предоставление дополнительного образования в сфере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«Организация и предоставление дополнительного образования в сфере культуры»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культуры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Созданы условия для получения доступного и качественного дополнительного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«Поддержка и развитие учреждений дополнительного образования в сфере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«Поддержка и развитие учреждений дополнительного образования в сфере культуры»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культуры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Поддержка и развитие учреждений дополнительного образования в сфере культуры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творческой активности детей, оказание поддержки обучающимся и их педагогам-наставникам за высокие достижения в области культуры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«Отдых и оздоровление детей»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.1. Региональный проект «</w:t>
            </w:r>
            <w:r>
              <w:rPr>
                <w:rFonts w:ascii="Times New Roman" w:hAnsi="Times New Roman"/>
                <w:sz w:val="24"/>
              </w:rPr>
              <w:t>Семейные ценности и инфраструктура культуры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 (наименование): </w:t>
            </w: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</w:t>
            </w:r>
            <w:r>
              <w:rPr>
                <w:rFonts w:ascii="Times New Roman" w:hAnsi="Times New Roman"/>
                <w:sz w:val="24"/>
              </w:rPr>
              <w:t>-2026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.1.1.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 xml:space="preserve">Приобщение участников лагеря к </w:t>
            </w:r>
            <w:r>
              <w:rPr>
                <w:rFonts w:ascii="Times New Roman" w:hAnsi="Times New Roman"/>
                <w:sz w:val="24"/>
              </w:rPr>
              <w:t>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Приобщение участников лагеря к историческому </w:t>
            </w:r>
            <w:r>
              <w:rPr>
                <w:rFonts w:ascii="Times New Roman" w:hAnsi="Times New Roman"/>
                <w:sz w:val="24"/>
              </w:rPr>
              <w:t>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</w:t>
            </w:r>
            <w:r>
              <w:rPr>
                <w:rFonts w:ascii="Times New Roman" w:hAnsi="Times New Roman"/>
                <w:sz w:val="24"/>
              </w:rPr>
              <w:t>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«Отдых и оздоровление детей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оздоровительно-образовательном центре</w:t>
            </w:r>
            <w:r>
              <w:rPr>
                <w:rFonts w:ascii="Times New Roman" w:hAnsi="Times New Roman"/>
                <w:sz w:val="24"/>
              </w:rPr>
              <w:t>, загородных лагерях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условий для отдыха и оздоровления детей в каникулярное время в лагерях дневного пребывания, </w:t>
            </w:r>
            <w:r>
              <w:rPr>
                <w:rFonts w:ascii="Times New Roman" w:hAnsi="Times New Roman"/>
                <w:sz w:val="24"/>
              </w:rPr>
              <w:t>туристских походах, оздоровительно-образовательном центре, загородных лагерях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«Реализация молодёжной политики»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 Региональный проект «Мы вместе (Воспитание гармонично развитой личности)»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Служба внешних связей и молодежной политики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5.1.1.</w:t>
            </w:r>
          </w:p>
        </w:tc>
        <w:tc>
          <w:tcPr>
            <w:tcW w:type="dxa" w:w="58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Социальное, культурное, духовное и физическое развитие молодежи, проживающей на территории города Магнитогорска</w:t>
            </w:r>
          </w:p>
        </w:tc>
        <w:tc>
          <w:tcPr>
            <w:tcW w:type="dxa" w:w="52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Создать условия для реального участия молодежи города Магнитогорска в мероприятиях, направленных на социальное, культурное, </w:t>
            </w:r>
            <w:r>
              <w:rPr>
                <w:rFonts w:ascii="Times New Roman" w:hAnsi="Times New Roman"/>
                <w:sz w:val="24"/>
              </w:rPr>
              <w:t>духовное и физическое развитие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людей, занимающихся добровольческой (волонтерской) </w:t>
            </w:r>
            <w:r>
              <w:rPr>
                <w:rFonts w:ascii="Times New Roman" w:hAnsi="Times New Roman"/>
                <w:sz w:val="24"/>
              </w:rPr>
              <w:t>деятельностью</w:t>
            </w:r>
          </w:p>
        </w:tc>
      </w:tr>
      <w:tr>
        <w:tc>
          <w:tcPr>
            <w:tcW w:type="dxa" w:w="8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 Комплекс процессных мероприятий «Молодежь Магнитки»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Служба внешних связей и молодежной политики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Создать условия для привлечения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</w:t>
            </w:r>
            <w:r>
              <w:rPr>
                <w:rFonts w:ascii="Times New Roman" w:hAnsi="Times New Roman"/>
                <w:sz w:val="24"/>
              </w:rPr>
              <w:t>тельскую деятельность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6 «Сопровождение деятельности образовательных учреждений»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 Комплекс процессных мероприятий «Сопровождение деятельности образовательных учреждений»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 xml:space="preserve">Организация методического, психологического, финансового и технического </w:t>
            </w:r>
            <w:r>
              <w:rPr>
                <w:rFonts w:ascii="Times New Roman" w:hAnsi="Times New Roman"/>
                <w:sz w:val="24"/>
              </w:rPr>
              <w:t>сопровождения деятельности образовательных учреждений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методического, психологического, финансового и технического сопровождения </w:t>
            </w:r>
            <w:r>
              <w:rPr>
                <w:rFonts w:ascii="Times New Roman" w:hAnsi="Times New Roman"/>
                <w:sz w:val="24"/>
              </w:rPr>
              <w:t>деятельности образовательных учреждений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</w:t>
            </w:r>
            <w:r>
              <w:rPr>
                <w:rFonts w:ascii="Times New Roman" w:hAnsi="Times New Roman"/>
                <w:sz w:val="24"/>
              </w:rPr>
              <w:t>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 Комплекс процессных мероприятий «Развитие образовательной среды»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</w:t>
            </w:r>
            <w:r>
              <w:rPr>
                <w:rFonts w:ascii="Times New Roman" w:hAnsi="Times New Roman"/>
                <w:sz w:val="24"/>
              </w:rPr>
              <w:t>Обеспечение функционирования Управления образования администрации города Магнитогорска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</w:tbl>
    <w:p w14:paraId="7B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bookmarkStart w:id="3" w:name="P877"/>
      <w:bookmarkEnd w:id="3"/>
      <w:bookmarkStart w:id="4" w:name="_GoBack"/>
      <w:bookmarkEnd w:id="4"/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7C0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481"/>
        <w:gridCol w:w="1596"/>
        <w:gridCol w:w="1596"/>
        <w:gridCol w:w="1596"/>
        <w:gridCol w:w="1535"/>
        <w:gridCol w:w="1547"/>
        <w:gridCol w:w="1535"/>
        <w:gridCol w:w="2196"/>
      </w:tblGrid>
      <w:tr>
        <w:tc>
          <w:tcPr>
            <w:tcW w:type="dxa" w:w="3481"/>
            <w:vMerge w:val="restart"/>
            <w:vAlign w:val="center"/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601"/>
            <w:gridSpan w:val="7"/>
            <w:vAlign w:val="center"/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481"/>
            <w:gridSpan w:val="1"/>
            <w:vMerge w:val="continue"/>
            <w:vAlign w:val="center"/>
          </w:tcPr>
          <w:p/>
        </w:tc>
        <w:tc>
          <w:tcPr>
            <w:tcW w:type="dxa" w:w="1596"/>
            <w:vAlign w:val="center"/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96"/>
            <w:vAlign w:val="center"/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96"/>
            <w:vAlign w:val="center"/>
          </w:tcPr>
          <w:p w14:paraId="8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35"/>
            <w:vAlign w:val="center"/>
          </w:tcPr>
          <w:p w14:paraId="8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47"/>
            <w:vAlign w:val="center"/>
          </w:tcPr>
          <w:p w14:paraId="8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35"/>
            <w:vAlign w:val="center"/>
          </w:tcPr>
          <w:p w14:paraId="8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196"/>
            <w:vAlign w:val="center"/>
          </w:tcPr>
          <w:p w14:paraId="8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481"/>
            <w:vAlign w:val="center"/>
          </w:tcPr>
          <w:p w14:paraId="8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96"/>
            <w:vAlign w:val="center"/>
          </w:tcPr>
          <w:p w14:paraId="8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96"/>
            <w:vAlign w:val="center"/>
          </w:tcPr>
          <w:p w14:paraId="8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96"/>
            <w:vAlign w:val="center"/>
          </w:tcPr>
          <w:p w14:paraId="8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35"/>
            <w:vAlign w:val="center"/>
          </w:tcPr>
          <w:p w14:paraId="8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47"/>
            <w:vAlign w:val="center"/>
          </w:tcPr>
          <w:p w14:paraId="8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35"/>
            <w:vAlign w:val="center"/>
          </w:tcPr>
          <w:p w14:paraId="8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96"/>
            <w:vAlign w:val="center"/>
          </w:tcPr>
          <w:p w14:paraId="8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481"/>
            <w:vAlign w:val="center"/>
          </w:tcPr>
          <w:p w14:paraId="8E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Всего, в т.ч.</w:t>
            </w:r>
          </w:p>
        </w:tc>
        <w:tc>
          <w:tcPr>
            <w:tcW w:type="dxa" w:w="1596"/>
            <w:shd w:themeFill="background1" w:val="clear"/>
          </w:tcPr>
          <w:p w14:paraId="8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10 295 927,29</w:t>
            </w:r>
          </w:p>
        </w:tc>
        <w:tc>
          <w:tcPr>
            <w:tcW w:type="dxa" w:w="1596"/>
            <w:shd w:themeFill="background1" w:val="clear"/>
          </w:tcPr>
          <w:p w14:paraId="9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10 154 180,66</w:t>
            </w:r>
          </w:p>
        </w:tc>
        <w:tc>
          <w:tcPr>
            <w:tcW w:type="dxa" w:w="1596"/>
            <w:shd w:themeFill="background1" w:val="clear"/>
          </w:tcPr>
          <w:p w14:paraId="9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10 058 801,66</w:t>
            </w:r>
          </w:p>
        </w:tc>
        <w:tc>
          <w:tcPr>
            <w:tcW w:type="dxa" w:w="1535"/>
            <w:shd w:themeFill="background1" w:val="clear"/>
          </w:tcPr>
          <w:p w14:paraId="9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9 277 582.12</w:t>
            </w:r>
          </w:p>
        </w:tc>
        <w:tc>
          <w:tcPr>
            <w:tcW w:type="dxa" w:w="1547"/>
            <w:shd w:themeFill="background1" w:val="clear"/>
          </w:tcPr>
          <w:p w14:paraId="9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9 564 845.48</w:t>
            </w:r>
          </w:p>
        </w:tc>
        <w:tc>
          <w:tcPr>
            <w:tcW w:type="dxa" w:w="1535"/>
            <w:shd w:themeFill="background1" w:val="clear"/>
          </w:tcPr>
          <w:p w14:paraId="9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9 879 840.45</w:t>
            </w:r>
          </w:p>
        </w:tc>
        <w:tc>
          <w:tcPr>
            <w:tcW w:type="dxa" w:w="2196"/>
            <w:shd w:themeFill="background1" w:val="clear"/>
          </w:tcPr>
          <w:p w14:paraId="9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59 231 177,67</w:t>
            </w:r>
          </w:p>
        </w:tc>
      </w:tr>
      <w:tr>
        <w:tc>
          <w:tcPr>
            <w:tcW w:type="dxa" w:w="3481"/>
            <w:vAlign w:val="center"/>
          </w:tcPr>
          <w:p w14:paraId="96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96"/>
            <w:shd w:themeFill="background1" w:val="clear"/>
          </w:tcPr>
          <w:p w14:paraId="9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468 611,19</w:t>
            </w:r>
          </w:p>
        </w:tc>
        <w:tc>
          <w:tcPr>
            <w:tcW w:type="dxa" w:w="1596"/>
            <w:shd w:themeFill="background1" w:val="clear"/>
          </w:tcPr>
          <w:p w14:paraId="9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441 619,32</w:t>
            </w:r>
          </w:p>
        </w:tc>
        <w:tc>
          <w:tcPr>
            <w:tcW w:type="dxa" w:w="1596"/>
            <w:shd w:themeFill="background1" w:val="clear"/>
          </w:tcPr>
          <w:p w14:paraId="9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404 825,14</w:t>
            </w:r>
          </w:p>
        </w:tc>
        <w:tc>
          <w:tcPr>
            <w:tcW w:type="dxa" w:w="1535"/>
            <w:shd w:themeFill="background1" w:val="clear"/>
          </w:tcPr>
          <w:p w14:paraId="9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47"/>
            <w:shd w:themeFill="background1" w:val="clear"/>
          </w:tcPr>
          <w:p w14:paraId="9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35"/>
            <w:shd w:themeFill="background1" w:val="clear"/>
          </w:tcPr>
          <w:p w14:paraId="9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196"/>
            <w:shd w:themeFill="background1" w:val="clear"/>
          </w:tcPr>
          <w:p w14:paraId="9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1 315 055,65</w:t>
            </w:r>
          </w:p>
        </w:tc>
      </w:tr>
      <w:tr>
        <w:tc>
          <w:tcPr>
            <w:tcW w:type="dxa" w:w="3481"/>
            <w:vAlign w:val="center"/>
          </w:tcPr>
          <w:p w14:paraId="9E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96"/>
            <w:shd w:themeFill="background1" w:val="clear"/>
          </w:tcPr>
          <w:p w14:paraId="9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6 417 880.96</w:t>
            </w:r>
          </w:p>
        </w:tc>
        <w:tc>
          <w:tcPr>
            <w:tcW w:type="dxa" w:w="1596"/>
            <w:shd w:themeFill="background1" w:val="clear"/>
          </w:tcPr>
          <w:p w14:paraId="A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6 440 165.90</w:t>
            </w:r>
          </w:p>
        </w:tc>
        <w:tc>
          <w:tcPr>
            <w:tcW w:type="dxa" w:w="1596"/>
            <w:shd w:themeFill="background1" w:val="clear"/>
          </w:tcPr>
          <w:p w14:paraId="A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6 381 344.81</w:t>
            </w:r>
          </w:p>
        </w:tc>
        <w:tc>
          <w:tcPr>
            <w:tcW w:type="dxa" w:w="1535"/>
            <w:shd w:themeFill="background1" w:val="clear"/>
          </w:tcPr>
          <w:p w14:paraId="A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6 362 270.53</w:t>
            </w:r>
          </w:p>
        </w:tc>
        <w:tc>
          <w:tcPr>
            <w:tcW w:type="dxa" w:w="1547"/>
            <w:shd w:themeFill="background1" w:val="clear"/>
          </w:tcPr>
          <w:p w14:paraId="A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6 362 270.53</w:t>
            </w:r>
          </w:p>
        </w:tc>
        <w:tc>
          <w:tcPr>
            <w:tcW w:type="dxa" w:w="1535"/>
            <w:shd w:themeFill="background1" w:val="clear"/>
          </w:tcPr>
          <w:p w14:paraId="A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6 362 270.53</w:t>
            </w:r>
          </w:p>
        </w:tc>
        <w:tc>
          <w:tcPr>
            <w:tcW w:type="dxa" w:w="219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38 326 203.27</w:t>
            </w:r>
          </w:p>
        </w:tc>
      </w:tr>
      <w:tr>
        <w:tc>
          <w:tcPr>
            <w:tcW w:type="dxa" w:w="3481"/>
            <w:vAlign w:val="center"/>
          </w:tcPr>
          <w:p w14:paraId="A6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96"/>
            <w:shd w:themeFill="background1" w:val="clear"/>
          </w:tcPr>
          <w:p w14:paraId="A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3 409 435.14</w:t>
            </w:r>
          </w:p>
        </w:tc>
        <w:tc>
          <w:tcPr>
            <w:tcW w:type="dxa" w:w="1596"/>
            <w:shd w:themeFill="background1" w:val="clear"/>
          </w:tcPr>
          <w:p w14:paraId="A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3 272 395.44</w:t>
            </w:r>
          </w:p>
        </w:tc>
        <w:tc>
          <w:tcPr>
            <w:tcW w:type="dxa" w:w="1596"/>
            <w:shd w:themeFill="background1" w:val="clear"/>
          </w:tcPr>
          <w:p w14:paraId="A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3 272 631.71</w:t>
            </w:r>
          </w:p>
        </w:tc>
        <w:tc>
          <w:tcPr>
            <w:tcW w:type="dxa" w:w="1535"/>
            <w:shd w:themeFill="background1" w:val="clear"/>
          </w:tcPr>
          <w:p w14:paraId="A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2 915 311.58</w:t>
            </w:r>
          </w:p>
        </w:tc>
        <w:tc>
          <w:tcPr>
            <w:tcW w:type="dxa" w:w="1547"/>
            <w:shd w:themeFill="background1" w:val="clear"/>
          </w:tcPr>
          <w:p w14:paraId="A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3 202 574.95</w:t>
            </w:r>
          </w:p>
        </w:tc>
        <w:tc>
          <w:tcPr>
            <w:tcW w:type="dxa" w:w="1535"/>
            <w:shd w:themeFill="background1" w:val="clear"/>
          </w:tcPr>
          <w:p w14:paraId="A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3 517 569.92</w:t>
            </w:r>
          </w:p>
        </w:tc>
        <w:tc>
          <w:tcPr>
            <w:tcW w:type="dxa" w:w="219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19 589 918.74</w:t>
            </w:r>
          </w:p>
        </w:tc>
      </w:tr>
      <w:tr>
        <w:tc>
          <w:tcPr>
            <w:tcW w:type="dxa" w:w="3481"/>
            <w:vAlign w:val="center"/>
          </w:tcPr>
          <w:p w14:paraId="AE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96"/>
            <w:shd w:themeFill="background1" w:val="clear"/>
          </w:tcPr>
          <w:p w14:paraId="A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96"/>
            <w:shd w:themeFill="background1" w:val="clear"/>
          </w:tcPr>
          <w:p w14:paraId="B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96"/>
            <w:shd w:themeFill="background1" w:val="clear"/>
          </w:tcPr>
          <w:p w14:paraId="B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35"/>
            <w:shd w:themeFill="background1" w:val="clear"/>
          </w:tcPr>
          <w:p w14:paraId="B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47"/>
            <w:shd w:themeFill="background1" w:val="clear"/>
          </w:tcPr>
          <w:p w14:paraId="B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35"/>
            <w:shd w:themeFill="background1" w:val="clear"/>
          </w:tcPr>
          <w:p w14:paraId="B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196"/>
            <w:shd w:themeFill="background1" w:val="clear"/>
          </w:tcPr>
          <w:p w14:paraId="B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481"/>
            <w:vAlign w:val="center"/>
          </w:tcPr>
          <w:p w14:paraId="B6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</w:tc>
        <w:tc>
          <w:tcPr>
            <w:tcW w:type="dxa" w:w="1596"/>
            <w:shd w:themeFill="background1" w:val="clear"/>
          </w:tcPr>
          <w:p w14:paraId="B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6"/>
            <w:shd w:themeFill="background1" w:val="clear"/>
          </w:tcPr>
          <w:p w14:paraId="B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6"/>
            <w:shd w:themeFill="background1" w:val="clear"/>
          </w:tcPr>
          <w:p w14:paraId="B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5"/>
            <w:shd w:themeFill="background1" w:val="clear"/>
          </w:tcPr>
          <w:p w14:paraId="B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47"/>
            <w:shd w:themeFill="background1" w:val="clear"/>
          </w:tcPr>
          <w:p w14:paraId="B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5"/>
            <w:shd w:themeFill="background1" w:val="clear"/>
          </w:tcPr>
          <w:p w14:paraId="B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96"/>
            <w:shd w:themeFill="background1" w:val="clear"/>
          </w:tcPr>
          <w:p w14:paraId="B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BE010000">
      <w:pPr>
        <w:spacing w:after="0" w:line="240" w:lineRule="auto"/>
        <w:ind/>
        <w:rPr>
          <w:sz w:val="24"/>
        </w:rPr>
      </w:pPr>
    </w:p>
    <w:sectPr>
      <w:headerReference r:id="rId1" w:type="default"/>
      <w:pgSz w:h="11906" w:orient="landscape" w:w="16838"/>
      <w:pgMar w:bottom="851" w:footer="709" w:gutter="0" w:header="709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Balloon Text"/>
    <w:basedOn w:val="Style_5"/>
    <w:link w:val="Style_12_ch"/>
    <w:pPr>
      <w:spacing w:after="0" w:line="240" w:lineRule="auto"/>
      <w:ind/>
    </w:pPr>
    <w:rPr>
      <w:rFonts w:ascii="Segoe UI" w:hAnsi="Segoe UI"/>
      <w:sz w:val="18"/>
    </w:rPr>
  </w:style>
  <w:style w:styleId="Style_12_ch" w:type="character">
    <w:name w:val="Balloon Text"/>
    <w:basedOn w:val="Style_5_ch"/>
    <w:link w:val="Style_12"/>
    <w:rPr>
      <w:rFonts w:ascii="Segoe UI" w:hAnsi="Segoe UI"/>
      <w:sz w:val="1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annotation subject"/>
    <w:basedOn w:val="Style_15"/>
    <w:next w:val="Style_15"/>
    <w:link w:val="Style_14_ch"/>
    <w:rPr>
      <w:b w:val="1"/>
    </w:rPr>
  </w:style>
  <w:style w:styleId="Style_14_ch" w:type="character">
    <w:name w:val="annotation subject"/>
    <w:basedOn w:val="Style_15_ch"/>
    <w:link w:val="Style_14"/>
    <w:rPr>
      <w:b w:val="1"/>
    </w:rPr>
  </w:style>
  <w:style w:styleId="Style_16" w:type="paragraph">
    <w:name w:val="heading 5"/>
    <w:next w:val="Style_5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7" w:type="paragraph">
    <w:name w:val="heading 1"/>
    <w:next w:val="Style_5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footer"/>
    <w:basedOn w:val="Style_5"/>
    <w:link w:val="Style_2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0_ch" w:type="character">
    <w:name w:val="footer"/>
    <w:basedOn w:val="Style_5_ch"/>
    <w:link w:val="Style_20"/>
  </w:style>
  <w:style w:styleId="Style_21" w:type="paragraph">
    <w:name w:val="toc 1"/>
    <w:next w:val="Style_5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5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5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toc 5"/>
    <w:next w:val="Style_5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5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annotation reference"/>
    <w:basedOn w:val="Style_25"/>
    <w:link w:val="Style_28_ch"/>
    <w:rPr>
      <w:sz w:val="16"/>
    </w:rPr>
  </w:style>
  <w:style w:styleId="Style_28_ch" w:type="character">
    <w:name w:val="annotation reference"/>
    <w:basedOn w:val="Style_25_ch"/>
    <w:link w:val="Style_28"/>
    <w:rPr>
      <w:sz w:val="16"/>
    </w:rPr>
  </w:style>
  <w:style w:styleId="Style_15" w:type="paragraph">
    <w:name w:val="annotation text"/>
    <w:basedOn w:val="Style_5"/>
    <w:link w:val="Style_15_ch"/>
    <w:pPr>
      <w:spacing w:line="240" w:lineRule="auto"/>
      <w:ind/>
    </w:pPr>
    <w:rPr>
      <w:sz w:val="20"/>
    </w:rPr>
  </w:style>
  <w:style w:styleId="Style_15_ch" w:type="character">
    <w:name w:val="annotation text"/>
    <w:basedOn w:val="Style_5_ch"/>
    <w:link w:val="Style_15"/>
    <w:rPr>
      <w:sz w:val="20"/>
    </w:rPr>
  </w:style>
  <w:style w:styleId="Style_29" w:type="paragraph">
    <w:name w:val="Title"/>
    <w:next w:val="Style_5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5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5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2025-03-17T09:48:59Z</dcterms:modified>
</cp:coreProperties>
</file>