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10205" w:righ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5</w:t>
      </w:r>
    </w:p>
    <w:p w14:paraId="02000000">
      <w:pPr>
        <w:pStyle w:val="Style_1"/>
        <w:ind w:firstLine="0" w:left="10205" w:righ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3000000">
      <w:pPr>
        <w:pStyle w:val="Style_1"/>
        <w:ind w:firstLine="0" w:left="10205" w:right="0"/>
        <w:rPr>
          <w:rFonts w:ascii="Times New Roman" w:hAnsi="Times New Roman"/>
        </w:rPr>
      </w:pPr>
      <w:r>
        <w:rPr>
          <w:rFonts w:ascii="Times New Roman" w:hAnsi="Times New Roman"/>
        </w:rPr>
        <w:t>«Развитие дорожного хозяйства и</w:t>
      </w:r>
    </w:p>
    <w:p w14:paraId="04000000">
      <w:pPr>
        <w:pStyle w:val="Style_1"/>
        <w:ind w:firstLine="0" w:left="10205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благоустройства города Магнитогорска» </w:t>
      </w:r>
    </w:p>
    <w:p w14:paraId="05000000">
      <w:pPr>
        <w:pStyle w:val="Style_1"/>
        <w:ind w:firstLine="0" w:left="10205" w:right="0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годы»</w:t>
      </w:r>
    </w:p>
    <w:p w14:paraId="06000000">
      <w:pPr>
        <w:pStyle w:val="Style_2"/>
      </w:pPr>
    </w:p>
    <w:p w14:paraId="07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Методика расчета и источники информации</w:t>
      </w:r>
    </w:p>
    <w:p w14:paraId="08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о значениях целевых показателей муниципальной программы,</w:t>
      </w:r>
    </w:p>
    <w:p w14:paraId="09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показателей структурных элементов</w:t>
      </w:r>
    </w:p>
    <w:p w14:paraId="0A000000">
      <w:pPr>
        <w:pStyle w:val="Style_2"/>
        <w:widowControl w:val="0"/>
        <w:numPr>
          <w:ilvl w:val="0"/>
          <w:numId w:val="0"/>
        </w:numPr>
        <w:spacing w:after="108" w:before="108" w:line="240" w:lineRule="auto"/>
        <w:ind w:firstLine="0" w:left="0" w:right="0"/>
        <w:jc w:val="center"/>
        <w:outlineLvl w:val="0"/>
        <w:rPr>
          <w:rFonts w:ascii="Times New Roman" w:hAnsi="Times New Roman"/>
          <w:color w:val="26282F"/>
        </w:rPr>
      </w:pPr>
      <w:r>
        <w:rPr>
          <w:rFonts w:ascii="Times New Roman CYR" w:hAnsi="Times New Roman CYR"/>
          <w:color w:val="26282F"/>
        </w:rPr>
        <w:t>«</w:t>
      </w:r>
      <w:r>
        <w:rPr>
          <w:rFonts w:ascii="Times New Roman" w:hAnsi="Times New Roman"/>
          <w:color w:val="26282F"/>
        </w:rPr>
        <w:t xml:space="preserve">Развитие дорожного хозяйства и благоустройства города Магнитогорска» </w:t>
      </w:r>
    </w:p>
    <w:p w14:paraId="0B000000">
      <w:pPr>
        <w:pStyle w:val="Style_2"/>
        <w:widowControl w:val="0"/>
        <w:numPr>
          <w:ilvl w:val="0"/>
          <w:numId w:val="0"/>
        </w:numPr>
        <w:spacing w:after="108" w:before="108" w:line="240" w:lineRule="auto"/>
        <w:ind w:firstLine="0" w:left="0" w:right="0"/>
        <w:jc w:val="center"/>
        <w:outlineLvl w:val="0"/>
        <w:rPr>
          <w:rFonts w:ascii="Times New Roman CYR" w:hAnsi="Times New Roman CYR"/>
          <w:color w:val="26282F"/>
        </w:rPr>
      </w:pPr>
      <w:r>
        <w:rPr>
          <w:rFonts w:ascii="Times New Roman" w:hAnsi="Times New Roman"/>
          <w:color w:val="26282F"/>
        </w:rPr>
        <w:t>на 2025-2030 годы</w:t>
      </w:r>
      <w:r>
        <w:rPr>
          <w:rFonts w:ascii="Times New Roman CYR" w:hAnsi="Times New Roman CYR"/>
          <w:color w:val="26282F"/>
        </w:rPr>
        <w:t>»</w:t>
      </w:r>
    </w:p>
    <w:p w14:paraId="0C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 </w:t>
      </w: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97"/>
        <w:gridCol w:w="3660"/>
        <w:gridCol w:w="1498"/>
        <w:gridCol w:w="5581"/>
        <w:gridCol w:w="3134"/>
      </w:tblGrid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 </w:t>
            </w:r>
          </w:p>
          <w:p w14:paraId="0E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Наименование показателя, </w:t>
            </w:r>
          </w:p>
          <w:p w14:paraId="10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 измерения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Динамика показателя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Расчет целевого показателя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5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Муниципальная программа «Развитие дорожного хозяйства и благоустройства города Магнитогорска» на 2025-2030 годы»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Dd = Dp/Do *100%, где</w:t>
            </w:r>
          </w:p>
          <w:p w14:paraId="1F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Dd –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%;</w:t>
            </w:r>
          </w:p>
          <w:p w14:paraId="20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Dp - протяженность автомобильных дорог общего пользования местного значения, не отвечающих нормативным требованиям, км</w:t>
            </w:r>
          </w:p>
          <w:p w14:paraId="21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Do - протяженность автомобильных дорог общего пользования местного значения, км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Система оперативного управления "Эталон"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выполненных мероприятий по строительству, капитальному ремонту, ремонту и содержанию автомобильных дорог общего пользования местного значения города от планируемых, %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Dв = Ов/Опл *100%, где</w:t>
            </w:r>
          </w:p>
          <w:p w14:paraId="27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Ов – общее количество выполненных мероприятий по строительству, капитальному ремонту, ремонту и содержанию автомобильных дорог общего пользования местного значения, ед. </w:t>
            </w:r>
          </w:p>
          <w:p w14:paraId="28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Опл – общее количество запланированных мероприятий по строительству, капитальному ремонту, ремонту и содержанию автомобильных дорог общего пользования местного значения, ед.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Счета-фактуры, акты оказанных услуг (выполненных работ) в Единой информационной системе.</w:t>
            </w:r>
          </w:p>
          <w:p w14:paraId="2A000000">
            <w:pPr>
              <w:pStyle w:val="Style_2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Бюджетная смета МКУ «УКС»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выполненных мероприятий по строительству, капитальному ремонту, ремонту и содержанию объектов благоустройства города от планируемых, %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Dв = Ов/Опл *100%, где</w:t>
            </w:r>
          </w:p>
          <w:p w14:paraId="2F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Ов – общее количество выполненных мероприятий по строительству, капитальному ремонту, ремонту и содержанию объектов благоустройства города, ед. </w:t>
            </w:r>
          </w:p>
          <w:p w14:paraId="30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Опл – общее количество запланированных мероприятий по строительству, капитальному ремонту, ремонту и содержанию объектов благоустройства города, ед.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Счета-фактуры, акты оказанных услуг (выполненных работ) в Единой информационной системе.</w:t>
            </w:r>
          </w:p>
          <w:p w14:paraId="32000000">
            <w:pPr>
              <w:pStyle w:val="Style_2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Бюджетная смета МКУ «УКС»</w:t>
            </w:r>
          </w:p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Процент горения светильников, %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=№i/№j*100%, где</w:t>
            </w:r>
          </w:p>
          <w:p w14:paraId="38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i – количество горящих светильников, шт.</w:t>
            </w:r>
          </w:p>
          <w:p w14:paraId="39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j – общее количество установленных светильников, шт.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Отчет по работам АО «Горэлектросеть» по содержанию, техническому обслуживанию объектов наружного освещения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u w:color="000000" w:val="none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2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= Σ №i, где </w:t>
            </w:r>
          </w:p>
          <w:p w14:paraId="3F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i – количество оказанных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Счет-фактура, акт оказанных услуг в Единой информационной системе</w:t>
            </w:r>
          </w:p>
        </w:tc>
      </w:tr>
      <w:tr>
        <w:trPr>
          <w:trHeight w:hRule="atLeast" w:val="339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Направление 1 «Дорожная деятельность в городе Магнитогорске»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Региональный проект «Региональная и местная дорожная сеть»</w:t>
            </w:r>
          </w:p>
        </w:tc>
      </w:tr>
      <w:tr>
        <w:trPr>
          <w:trHeight w:hRule="atLeast" w:val="970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Приведены в нормативное состояние автомобильные дороги регионального или межмуниципального, местного значения и искусственные дорожные сооружения на них, ед.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Абсолютный показатель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Соглашение с Министерством дорожного хозяйства и транспорта Челябинской области, годовой отчет МКУ «УКС» о достижении значений результатов предоставления Иного межбюджетного трансферта и обязательствах, принятых в целях их достижения</w:t>
            </w:r>
          </w:p>
        </w:tc>
      </w:tr>
      <w:tr>
        <w:trPr>
          <w:trHeight w:hRule="atLeast" w:val="544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Муниципальный проект «Строительство и реконструкция автомобильных дорог общего пользования местного значения в городе Магнитогорске»</w:t>
            </w:r>
          </w:p>
          <w:p w14:paraId="4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Протяженность построенных и реконструированных автомобильных дорог, км.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= Σ №i, где </w:t>
            </w:r>
          </w:p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i – общая протяженность построенных и реконструированных участков автомобильных дорог, км.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Акты ввода в эксплуатацию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u w:color="000000" w:val="none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выполненных мероприятий по строительству и реконструкции автомобильных дорог общего пользования местного значения, ед.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= Σ №i, где </w:t>
            </w:r>
          </w:p>
          <w:p w14:paraId="57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i – количество выполненных мероприятий по строительству и реконструкции автомобильных дорог общего пользования местного значения, ед.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Счета-фактуры, акты оказанных услуг (выполненных работ) в Единой информационной системе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u w:color="000000" w:val="none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выполненных прочих мероприятий по строительству и реконструкции автомобильных дорог общего пользования местного значения, ед.</w:t>
            </w:r>
            <w:bookmarkStart w:id="1" w:name="_GoBack"/>
            <w:bookmarkEnd w:id="1"/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= Σ №i, где </w:t>
            </w:r>
          </w:p>
          <w:p w14:paraId="5D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i – количество выполненных прочих мероприятий по строительству и реконструкции автомобильных дорог общего пользования местного значения, ед.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Счета-фактуры, акты оказанных услуг (выполненных работ) в Единой информационной системе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Комплекс процессных мероприятий «Капитальный ремонт, ремонт и содержание автомобильных дорог общего пользования местного значения»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u w:color="000000" w:val="none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выполненных мероприятий по капитальному ремонту, ремонту и содержанию автомобильных дорог общего пользования местного значения, ед.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= Σ №i, где </w:t>
            </w:r>
          </w:p>
          <w:p w14:paraId="65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i – количество выполненных мероприятий по капитальному ремонту, ремонту и содержанию автомобильных дорог общего пользования местного значения, ед.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Счета-фактуры, акты оказанных услуг (выполненных работ) в Единой информационной системе</w:t>
            </w:r>
          </w:p>
        </w:tc>
      </w:tr>
      <w:tr>
        <w:trPr>
          <w:trHeight w:hRule="atLeast" w:val="1139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u w:color="000000" w:val="none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Выполнены работы по капитальному ремонту, ремонту и содержанию объектов улично-дорожной сети, тыс. кв. м.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= Σ №i, где </w:t>
            </w:r>
          </w:p>
          <w:p w14:paraId="6B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i – общая площадь выполненных работ по капитальному ремонту, ремонту и содержанию объектов улично-дорожной сети, тыс.кв.м.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(Счета-фактуры, акты оказанных услуг (выполненных работ) в Единой информационной системе)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Направление 2 «Благоустройство территории города Магнитогорска»</w:t>
            </w:r>
          </w:p>
        </w:tc>
      </w:tr>
      <w:tr>
        <w:trPr>
          <w:trHeight w:hRule="atLeast" w:val="351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Муниципальный проект «Строительство и реконструкция объектов благоустройства в городе Магнитогорске»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построенных и реконструированных объектов благоустройства, ед.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= Σ №i, где </w:t>
            </w:r>
          </w:p>
          <w:p w14:paraId="75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i – количество построенных и реконструированных объектов благоустройства, ед. </w:t>
            </w:r>
          </w:p>
          <w:p w14:paraId="76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Счета-фактуры, акты оказанных услуг (выполненных работ) в Единой информационной системе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Комплекс процессных мероприятий «Капитальный ремонт, ремонт и содержание объектов благоустройства в городе Магнитогорске»</w:t>
            </w:r>
          </w:p>
        </w:tc>
      </w:tr>
      <w:tr>
        <w:trPr>
          <w:trHeight w:hRule="atLeast" w:val="407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выполненных мероприятий по капитальному ремонту, ремонту и содержанию объектов благоустройства, ед.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= Σ №i, где </w:t>
            </w:r>
          </w:p>
          <w:p w14:paraId="7E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i – количество выполненных мероприятий по капитальному ремонту, ремонту и содержанию объектов благоустройства, ед.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Счета-фактуры, акты оказанных услуг (выполненных работ) в Единой информационной системе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u w:color="000000" w:val="none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выполненных прочих мероприятий по благоустройству, ед.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= Σ №i, где </w:t>
            </w:r>
          </w:p>
          <w:p w14:paraId="84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i – количество выполненных прочих мероприятий по благоустройству, ед.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Счета-фактуры, акты оказанных услуг (выполненных работ) в Единой информационной системе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type="dxa" w:w="138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Комплекс процессных мероприятий «Организация ритуальных услуг и содержание мест захоронения»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Доля освоенных бюджетные средства, направленных на благоустройство, текущее содержание и своевременное оказание услуг по дезинсекции территорий кладбищ города, %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А=(S/№)*100%</w:t>
            </w:r>
          </w:p>
          <w:p w14:paraId="8C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где:</w:t>
            </w:r>
          </w:p>
          <w:p w14:paraId="8D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S – фактически освоенные бюджетные средства, направленные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на благоустройство, текущее содержание и своевременное оказание услуг по дезинсекции территорий кладбищ города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;</w:t>
            </w:r>
          </w:p>
          <w:p w14:paraId="8E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–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запланированные бюджетные средства, направленные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на благоустройство, текущее содержание и своевременное оказание услуг по дезинсекции территорий кладбищ города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Отчет, счета-фактуры, акты оказанных услуг (выполненных работ) в Единой информационной системе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Оказаны услуги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умершего, ед.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= Σ №i, где </w:t>
            </w:r>
          </w:p>
          <w:p w14:paraId="94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i – количество оказанных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умершего, ед.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Счет-фактура, акт оказанных услуг в Единой информационной системе</w:t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Комплекс процессных мероприятий «Светлый город»</w:t>
            </w:r>
          </w:p>
        </w:tc>
      </w:tr>
      <w:tr>
        <w:trPr>
          <w:trHeight w:hRule="atLeast" w:val="1550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Количество светоточек по которым выполнены работы по содержанию, техническому обслуживанию, текущему ремонту объектов наружного освещения, шт.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меньше-лучше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= Σ №i, где </w:t>
            </w:r>
          </w:p>
          <w:p w14:paraId="9C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i – общее количество светоточек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по которым выполнены работы по содержанию, техническому обслуживанию, текущему ремонту объектов наружного освещения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 шт.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Отчет по работам АО «Горэлектросеть» по содержанию, техническому обслуживанию объектов наружного освещения</w:t>
            </w:r>
          </w:p>
        </w:tc>
      </w:tr>
      <w:tr>
        <w:trPr>
          <w:trHeight w:hRule="atLeast" w:val="962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электроэнергии, потребленной на наружное освещение города, тыс.кВт. час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= Σ №i, где </w:t>
            </w:r>
          </w:p>
          <w:p w14:paraId="A2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i – общее количество потребленной электроэнергии на наружное освещение города, тыс.кВт. час.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Сводный акт первичного учета электроэнергии, счет-фактура</w:t>
            </w:r>
          </w:p>
        </w:tc>
      </w:tr>
      <w:tr>
        <w:trPr>
          <w:trHeight w:hRule="atLeast" w:val="408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Комплекс процессных мероприятий «Обеспечение деятельности муниципального казенного учреждения «Управление капитального строительства»</w:t>
            </w:r>
          </w:p>
        </w:tc>
      </w:tr>
      <w:tr>
        <w:trPr>
          <w:trHeight w:hRule="atLeast" w:val="2119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Доля освоенных средств, направленных на обеспечение деятельности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муниципального казенного учреждения «Управление капитального строительства», %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А=(S/№)*100%</w:t>
            </w:r>
          </w:p>
          <w:p w14:paraId="AA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где:</w:t>
            </w:r>
          </w:p>
          <w:p w14:paraId="AB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S – фактически освоенные средства, направленные на обеспечение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деятельности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муниципального казенного учреждения «Управление капитального строительства»;</w:t>
            </w:r>
          </w:p>
          <w:p w14:paraId="AC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–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запланированные средства, направленные на обеспечение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деятельности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муниципального казенного учреждения «Управление капитального строительства».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Отчет</w:t>
            </w:r>
          </w:p>
        </w:tc>
      </w:tr>
      <w:tr>
        <w:trPr>
          <w:trHeight w:hRule="atLeast" w:val="426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Комплекса процессных мероприятий «Обеспечение деятельности муниципального казенного учреждения «Комбинат похоронно-ритуальных услуг»</w:t>
            </w:r>
          </w:p>
        </w:tc>
      </w:tr>
      <w:tr>
        <w:trPr>
          <w:trHeight w:hRule="atLeast" w:val="985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  <w:u w:color="000000" w:val="none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Доля освоенных средств, направленных на обеспечение деятельности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муниципального казенного учреждения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 xml:space="preserve"> «Комбинат похоронно-ритуальных услуг», % 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А=(S/№)*100%</w:t>
            </w:r>
          </w:p>
          <w:p w14:paraId="B4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где:</w:t>
            </w:r>
          </w:p>
          <w:p w14:paraId="B5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S – фактически освоенные средства, направленные на обеспечение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деятельности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муниципального казенного учреждения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«Комбинат похоронно-ритуальных услуг»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;</w:t>
            </w:r>
          </w:p>
          <w:p w14:paraId="B6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–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запланированные средства, направленные на обеспечение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деятельности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муниципального казенного учреждения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«Комбинат похоронно-ритуальных услуг»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Отчет</w:t>
            </w:r>
          </w:p>
        </w:tc>
      </w:tr>
      <w:tr>
        <w:trPr>
          <w:trHeight w:hRule="atLeast" w:val="510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87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Комплекса процессных мероприятий «Мероприятия по реализации инициативных проектов на территории города Магнитогорска»</w:t>
            </w:r>
          </w:p>
          <w:p w14:paraId="B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510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  <w:u w:color="000000" w:val="none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Магнитогорска, ед.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pStyle w:val="Style_4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5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= Σ №i, где </w:t>
            </w:r>
          </w:p>
          <w:p w14:paraId="BF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i – количество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реализованных инициативных проектов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, ед. 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pStyle w:val="Style_4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Счета-фактуры, акты оказанных услуг (выполненных работ) в Единой информационной системе</w:t>
            </w:r>
          </w:p>
        </w:tc>
      </w:tr>
    </w:tbl>
    <w:p w14:paraId="C1000000">
      <w:pPr>
        <w:pStyle w:val="Style_2"/>
        <w:widowControl w:val="1"/>
        <w:spacing w:after="200" w:before="0" w:line="276" w:lineRule="auto"/>
        <w:ind w:firstLine="0" w:left="0" w:right="0"/>
        <w:jc w:val="left"/>
      </w:pPr>
    </w:p>
    <w:sectPr>
      <w:type w:val="nextPage"/>
      <w:pgSz w:h="11906" w:orient="landscape" w:w="16838"/>
      <w:pgMar w:bottom="1134" w:footer="0" w:gutter="0" w:header="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6" w:type="paragraph">
    <w:name w:val="Заголовок 41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4"/>
    </w:rPr>
  </w:style>
  <w:style w:styleId="Style_6_ch" w:type="character">
    <w:name w:val="Заголовок 41"/>
    <w:link w:val="Style_6"/>
    <w:rPr>
      <w:rFonts w:ascii="XO Thames" w:hAnsi="XO Thames"/>
      <w:b w:val="1"/>
      <w:color w:val="000000"/>
      <w:spacing w:val="0"/>
      <w:sz w:val="24"/>
    </w:rPr>
  </w:style>
  <w:style w:styleId="Style_7" w:type="paragraph">
    <w:name w:val="toc 2"/>
    <w:next w:val="Style_2"/>
    <w:link w:val="Style_7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pacing w:val="0"/>
      <w:sz w:val="28"/>
    </w:rPr>
  </w:style>
  <w:style w:styleId="Style_5" w:type="paragraph">
    <w:name w:val="Прижатый влево"/>
    <w:basedOn w:val="Style_2"/>
    <w:next w:val="Style_2"/>
    <w:link w:val="Style_5_ch"/>
    <w:pPr>
      <w:widowControl w:val="0"/>
      <w:spacing w:after="0" w:before="0" w:line="240" w:lineRule="auto"/>
      <w:ind/>
    </w:pPr>
    <w:rPr>
      <w:rFonts w:ascii="Arial" w:hAnsi="Arial"/>
      <w:sz w:val="24"/>
    </w:rPr>
  </w:style>
  <w:style w:styleId="Style_5_ch" w:type="character">
    <w:name w:val="Прижатый влево"/>
    <w:basedOn w:val="Style_2_ch"/>
    <w:link w:val="Style_5"/>
    <w:rPr>
      <w:rFonts w:ascii="Arial" w:hAnsi="Arial"/>
      <w:sz w:val="24"/>
    </w:rPr>
  </w:style>
  <w:style w:styleId="Style_8" w:type="paragraph">
    <w:name w:val="Гиперссылка1"/>
    <w:link w:val="Style_8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8_ch" w:type="character">
    <w:name w:val="Гиперссылка1"/>
    <w:link w:val="Style_8"/>
    <w:rPr>
      <w:rFonts w:ascii="Calibri" w:hAnsi="Calibri"/>
      <w:color w:val="0000FF"/>
      <w:spacing w:val="0"/>
      <w:sz w:val="22"/>
      <w:u w:val="single"/>
    </w:rPr>
  </w:style>
  <w:style w:styleId="Style_9" w:type="paragraph">
    <w:name w:val="toc 4"/>
    <w:next w:val="Style_2"/>
    <w:link w:val="Style_9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Заголовок 21"/>
    <w:link w:val="Style_1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10_ch" w:type="character">
    <w:name w:val="Заголовок 21"/>
    <w:link w:val="Style_10"/>
    <w:rPr>
      <w:rFonts w:ascii="XO Thames" w:hAnsi="XO Thames"/>
      <w:b w:val="1"/>
      <w:color w:val="000000"/>
      <w:spacing w:val="0"/>
      <w:sz w:val="28"/>
    </w:rPr>
  </w:style>
  <w:style w:styleId="Style_11" w:type="paragraph">
    <w:name w:val="toc 6"/>
    <w:next w:val="Style_2"/>
    <w:link w:val="Style_11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6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Subtitle"/>
    <w:link w:val="Style_1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13_ch" w:type="character">
    <w:name w:val="Subtitle"/>
    <w:link w:val="Style_13"/>
    <w:rPr>
      <w:rFonts w:ascii="XO Thames" w:hAnsi="XO Thames"/>
      <w:i w:val="1"/>
      <w:color w:val="000000"/>
      <w:spacing w:val="0"/>
      <w:sz w:val="24"/>
    </w:rPr>
  </w:style>
  <w:style w:styleId="Style_14" w:type="paragraph">
    <w:name w:val="Heading 4"/>
    <w:link w:val="Style_14_ch"/>
    <w:rPr>
      <w:rFonts w:ascii="XO Thames" w:hAnsi="XO Thames"/>
      <w:b w:val="1"/>
      <w:sz w:val="24"/>
    </w:rPr>
  </w:style>
  <w:style w:styleId="Style_14_ch" w:type="character">
    <w:name w:val="Heading 4"/>
    <w:link w:val="Style_14"/>
    <w:rPr>
      <w:rFonts w:ascii="XO Thames" w:hAnsi="XO Thames"/>
      <w:b w:val="1"/>
      <w:sz w:val="24"/>
    </w:rPr>
  </w:style>
  <w:style w:styleId="Style_15" w:type="paragraph">
    <w:name w:val="Endnote"/>
    <w:link w:val="Style_15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5_ch" w:type="character">
    <w:name w:val="Endnote"/>
    <w:link w:val="Style_15"/>
    <w:rPr>
      <w:rFonts w:ascii="XO Thames" w:hAnsi="XO Thames"/>
      <w:color w:val="000000"/>
      <w:spacing w:val="0"/>
      <w:sz w:val="22"/>
    </w:rPr>
  </w:style>
  <w:style w:styleId="Style_16" w:type="paragraph">
    <w:name w:val="heading 3"/>
    <w:link w:val="Style_16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6_ch" w:type="character">
    <w:name w:val="heading 3"/>
    <w:link w:val="Style_16"/>
    <w:rPr>
      <w:rFonts w:ascii="XO Thames" w:hAnsi="XO Thames"/>
      <w:b w:val="1"/>
      <w:color w:val="000000"/>
      <w:spacing w:val="0"/>
      <w:sz w:val="26"/>
    </w:rPr>
  </w:style>
  <w:style w:styleId="Style_17" w:type="paragraph">
    <w:name w:val="Internet link"/>
    <w:link w:val="Style_17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17_ch" w:type="character">
    <w:name w:val="Internet link"/>
    <w:link w:val="Style_17"/>
    <w:rPr>
      <w:rFonts w:ascii="Calibri" w:hAnsi="Calibri"/>
      <w:color w:val="0000FF"/>
      <w:spacing w:val="0"/>
      <w:sz w:val="22"/>
      <w:u w:val="single"/>
    </w:rPr>
  </w:style>
  <w:style w:styleId="Style_18" w:type="paragraph">
    <w:name w:val="Heading 1"/>
    <w:link w:val="Style_18_ch"/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Подзаголовок1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19_ch" w:type="character">
    <w:name w:val="Подзаголовок1"/>
    <w:link w:val="Style_19"/>
    <w:rPr>
      <w:rFonts w:ascii="XO Thames" w:hAnsi="XO Thames"/>
      <w:i w:val="1"/>
      <w:color w:val="000000"/>
      <w:spacing w:val="0"/>
      <w:sz w:val="24"/>
    </w:rPr>
  </w:style>
  <w:style w:styleId="Style_20" w:type="paragraph">
    <w:name w:val="Contents 4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Contents 4"/>
    <w:link w:val="Style_20"/>
    <w:rPr>
      <w:rFonts w:ascii="XO Thames" w:hAnsi="XO Thames"/>
      <w:color w:val="000000"/>
      <w:spacing w:val="0"/>
      <w:sz w:val="28"/>
    </w:rPr>
  </w:style>
  <w:style w:styleId="Style_1" w:type="paragraph">
    <w:name w:val="ConsPlusNormal"/>
    <w:link w:val="Style_1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_ch" w:type="character">
    <w:name w:val="ConsPlusNormal"/>
    <w:link w:val="Style_1"/>
    <w:rPr>
      <w:rFonts w:asciiTheme="minorAscii" w:hAnsiTheme="minorHAnsi"/>
      <w:color w:val="000000"/>
      <w:spacing w:val="0"/>
      <w:sz w:val="22"/>
    </w:rPr>
  </w:style>
  <w:style w:styleId="Style_21" w:type="paragraph">
    <w:name w:val="Caption"/>
    <w:basedOn w:val="Style_2"/>
    <w:link w:val="Style_21_ch"/>
    <w:pPr>
      <w:spacing w:after="120" w:before="120"/>
      <w:ind/>
    </w:pPr>
    <w:rPr>
      <w:rFonts w:ascii="PT Astra Serif" w:hAnsi="PT Astra Serif"/>
      <w:i w:val="1"/>
      <w:sz w:val="24"/>
    </w:rPr>
  </w:style>
  <w:style w:styleId="Style_21_ch" w:type="character">
    <w:name w:val="Caption"/>
    <w:basedOn w:val="Style_2_ch"/>
    <w:link w:val="Style_21"/>
    <w:rPr>
      <w:rFonts w:ascii="PT Astra Serif" w:hAnsi="PT Astra Serif"/>
      <w:i w:val="1"/>
      <w:sz w:val="24"/>
    </w:rPr>
  </w:style>
  <w:style w:styleId="Style_22" w:type="paragraph">
    <w:name w:val="Contents 1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2_ch" w:type="character">
    <w:name w:val="Contents 1"/>
    <w:link w:val="Style_22"/>
    <w:rPr>
      <w:rFonts w:ascii="XO Thames" w:hAnsi="XO Thames"/>
      <w:b w:val="1"/>
      <w:color w:val="000000"/>
      <w:spacing w:val="0"/>
      <w:sz w:val="28"/>
    </w:rPr>
  </w:style>
  <w:style w:styleId="Style_23" w:type="paragraph">
    <w:name w:val="Contents 3"/>
    <w:link w:val="Style_2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Contents 3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List"/>
    <w:basedOn w:val="Style_25"/>
    <w:link w:val="Style_24_ch"/>
    <w:rPr>
      <w:rFonts w:ascii="PT Astra Serif" w:hAnsi="PT Astra Serif"/>
    </w:rPr>
  </w:style>
  <w:style w:styleId="Style_24_ch" w:type="character">
    <w:name w:val="List"/>
    <w:basedOn w:val="Style_25_ch"/>
    <w:link w:val="Style_24"/>
    <w:rPr>
      <w:rFonts w:ascii="PT Astra Serif" w:hAnsi="PT Astra Serif"/>
    </w:rPr>
  </w:style>
  <w:style w:styleId="Style_26" w:type="paragraph">
    <w:name w:val="Заголовок"/>
    <w:basedOn w:val="Style_2"/>
    <w:next w:val="Style_25"/>
    <w:link w:val="Style_2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6_ch" w:type="character">
    <w:name w:val="Заголовок"/>
    <w:basedOn w:val="Style_2_ch"/>
    <w:link w:val="Style_26"/>
    <w:rPr>
      <w:rFonts w:ascii="PT Astra Serif" w:hAnsi="PT Astra Serif"/>
      <w:sz w:val="28"/>
    </w:rPr>
  </w:style>
  <w:style w:styleId="Style_27" w:type="paragraph">
    <w:name w:val="index heading"/>
    <w:basedOn w:val="Style_2"/>
    <w:link w:val="Style_27_ch"/>
    <w:rPr>
      <w:rFonts w:ascii="PT Astra Serif" w:hAnsi="PT Astra Serif"/>
    </w:rPr>
  </w:style>
  <w:style w:styleId="Style_27_ch" w:type="character">
    <w:name w:val="index heading"/>
    <w:basedOn w:val="Style_2_ch"/>
    <w:link w:val="Style_27"/>
    <w:rPr>
      <w:rFonts w:ascii="PT Astra Serif" w:hAnsi="PT Astra Serif"/>
    </w:rPr>
  </w:style>
  <w:style w:styleId="Style_28" w:type="paragraph">
    <w:name w:val="Default Paragraph Font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8_ch" w:type="character">
    <w:name w:val="Default Paragraph Font"/>
    <w:link w:val="Style_28"/>
    <w:rPr>
      <w:rFonts w:asciiTheme="minorAscii" w:hAnsiTheme="minorHAnsi"/>
      <w:color w:val="000000"/>
      <w:spacing w:val="0"/>
      <w:sz w:val="22"/>
    </w:rPr>
  </w:style>
  <w:style w:styleId="Style_29" w:type="paragraph">
    <w:name w:val="Heading 5"/>
    <w:link w:val="Style_29_ch"/>
    <w:rPr>
      <w:rFonts w:ascii="XO Thames" w:hAnsi="XO Thames"/>
      <w:b w:val="1"/>
    </w:rPr>
  </w:style>
  <w:style w:styleId="Style_29_ch" w:type="character">
    <w:name w:val="Heading 5"/>
    <w:link w:val="Style_29"/>
    <w:rPr>
      <w:rFonts w:ascii="XO Thames" w:hAnsi="XO Thames"/>
      <w:b w:val="1"/>
    </w:rPr>
  </w:style>
  <w:style w:styleId="Style_30" w:type="paragraph">
    <w:name w:val="Text body"/>
    <w:link w:val="Style_30_ch"/>
  </w:style>
  <w:style w:styleId="Style_30_ch" w:type="character">
    <w:name w:val="Text body"/>
    <w:link w:val="Style_30"/>
  </w:style>
  <w:style w:styleId="Style_31" w:type="paragraph">
    <w:name w:val="List"/>
    <w:basedOn w:val="Style_30"/>
    <w:link w:val="Style_31_ch"/>
    <w:rPr>
      <w:rFonts w:ascii="PT Astra Serif" w:hAnsi="PT Astra Serif"/>
    </w:rPr>
  </w:style>
  <w:style w:styleId="Style_31_ch" w:type="character">
    <w:name w:val="List"/>
    <w:basedOn w:val="Style_30_ch"/>
    <w:link w:val="Style_31"/>
    <w:rPr>
      <w:rFonts w:ascii="PT Astra Serif" w:hAnsi="PT Astra Serif"/>
    </w:rPr>
  </w:style>
  <w:style w:styleId="Style_32" w:type="paragraph">
    <w:name w:val="Основной шрифт абзаца1"/>
    <w:link w:val="Style_32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2_ch" w:type="character">
    <w:name w:val="Основной шрифт абзаца1"/>
    <w:link w:val="Style_32"/>
    <w:rPr>
      <w:rFonts w:asciiTheme="minorAscii" w:hAnsiTheme="minorHAnsi"/>
      <w:color w:val="000000"/>
      <w:spacing w:val="0"/>
      <w:sz w:val="22"/>
    </w:rPr>
  </w:style>
  <w:style w:styleId="Style_33" w:type="paragraph">
    <w:name w:val="Указатель"/>
    <w:basedOn w:val="Style_2"/>
    <w:link w:val="Style_33_ch"/>
    <w:rPr>
      <w:rFonts w:ascii="PT Astra Serif" w:hAnsi="PT Astra Serif"/>
    </w:rPr>
  </w:style>
  <w:style w:styleId="Style_33_ch" w:type="character">
    <w:name w:val="Указатель"/>
    <w:basedOn w:val="Style_2_ch"/>
    <w:link w:val="Style_33"/>
    <w:rPr>
      <w:rFonts w:ascii="PT Astra Serif" w:hAnsi="PT Astra Serif"/>
    </w:rPr>
  </w:style>
  <w:style w:styleId="Style_34" w:type="paragraph">
    <w:name w:val="caption"/>
    <w:basedOn w:val="Style_2"/>
    <w:link w:val="Style_34_ch"/>
    <w:pPr>
      <w:spacing w:after="120" w:before="120"/>
      <w:ind/>
    </w:pPr>
    <w:rPr>
      <w:rFonts w:ascii="PT Astra Serif" w:hAnsi="PT Astra Serif"/>
      <w:i w:val="1"/>
      <w:sz w:val="24"/>
    </w:rPr>
  </w:style>
  <w:style w:styleId="Style_34_ch" w:type="character">
    <w:name w:val="caption"/>
    <w:basedOn w:val="Style_2_ch"/>
    <w:link w:val="Style_34"/>
    <w:rPr>
      <w:rFonts w:ascii="PT Astra Serif" w:hAnsi="PT Astra Serif"/>
      <w:i w:val="1"/>
      <w:sz w:val="24"/>
    </w:rPr>
  </w:style>
  <w:style w:styleId="Style_35" w:type="paragraph">
    <w:name w:val="Заголовок 51"/>
    <w:link w:val="Style_3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2"/>
    </w:rPr>
  </w:style>
  <w:style w:styleId="Style_35_ch" w:type="character">
    <w:name w:val="Заголовок 51"/>
    <w:link w:val="Style_35"/>
    <w:rPr>
      <w:rFonts w:ascii="XO Thames" w:hAnsi="XO Thames"/>
      <w:b w:val="1"/>
      <w:color w:val="000000"/>
      <w:spacing w:val="0"/>
      <w:sz w:val="22"/>
    </w:rPr>
  </w:style>
  <w:style w:styleId="Style_36" w:type="paragraph">
    <w:name w:val="toc 3"/>
    <w:next w:val="Style_2"/>
    <w:link w:val="Style_36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toc 3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Heading 3"/>
    <w:link w:val="Style_37_ch"/>
    <w:rPr>
      <w:rFonts w:ascii="XO Thames" w:hAnsi="XO Thames"/>
      <w:b w:val="1"/>
      <w:sz w:val="26"/>
    </w:rPr>
  </w:style>
  <w:style w:styleId="Style_37_ch" w:type="character">
    <w:name w:val="Heading 3"/>
    <w:link w:val="Style_37"/>
    <w:rPr>
      <w:rFonts w:ascii="XO Thames" w:hAnsi="XO Thames"/>
      <w:b w:val="1"/>
      <w:sz w:val="26"/>
    </w:rPr>
  </w:style>
  <w:style w:styleId="Style_38" w:type="paragraph">
    <w:name w:val="Название1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38_ch" w:type="character">
    <w:name w:val="Название1"/>
    <w:link w:val="Style_38"/>
    <w:rPr>
      <w:rFonts w:ascii="XO Thames" w:hAnsi="XO Thames"/>
      <w:b w:val="1"/>
      <w:caps w:val="1"/>
      <w:color w:val="000000"/>
      <w:spacing w:val="0"/>
      <w:sz w:val="40"/>
    </w:rPr>
  </w:style>
  <w:style w:styleId="Style_4" w:type="paragraph">
    <w:name w:val="Нормальный (таблица)"/>
    <w:basedOn w:val="Style_2"/>
    <w:next w:val="Style_2"/>
    <w:link w:val="Style_4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2_ch"/>
    <w:link w:val="Style_4"/>
    <w:rPr>
      <w:rFonts w:ascii="Arial" w:hAnsi="Arial"/>
      <w:sz w:val="24"/>
    </w:rPr>
  </w:style>
  <w:style w:styleId="Style_39" w:type="paragraph">
    <w:name w:val="Title"/>
    <w:link w:val="Style_3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color w:val="000000"/>
      <w:spacing w:val="0"/>
      <w:sz w:val="40"/>
    </w:rPr>
  </w:style>
  <w:style w:styleId="Style_40" w:type="paragraph">
    <w:name w:val="heading 5"/>
    <w:link w:val="Style_40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0_ch" w:type="character">
    <w:name w:val="heading 5"/>
    <w:link w:val="Style_40"/>
    <w:rPr>
      <w:rFonts w:ascii="XO Thames" w:hAnsi="XO Thames"/>
      <w:b w:val="1"/>
      <w:color w:val="000000"/>
      <w:spacing w:val="0"/>
      <w:sz w:val="22"/>
    </w:rPr>
  </w:style>
  <w:style w:styleId="Style_41" w:type="paragraph">
    <w:name w:val="Contents 2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Contents 2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Balloon Text"/>
    <w:basedOn w:val="Style_2"/>
    <w:link w:val="Style_42_ch"/>
    <w:pPr>
      <w:spacing w:after="0" w:before="0" w:line="240" w:lineRule="auto"/>
      <w:ind/>
    </w:pPr>
    <w:rPr>
      <w:rFonts w:ascii="Segoe UI" w:hAnsi="Segoe UI"/>
      <w:sz w:val="18"/>
    </w:rPr>
  </w:style>
  <w:style w:styleId="Style_42_ch" w:type="character">
    <w:name w:val="Balloon Text"/>
    <w:basedOn w:val="Style_2_ch"/>
    <w:link w:val="Style_42"/>
    <w:rPr>
      <w:rFonts w:ascii="Segoe UI" w:hAnsi="Segoe UI"/>
      <w:sz w:val="18"/>
    </w:rPr>
  </w:style>
  <w:style w:styleId="Style_43" w:type="paragraph">
    <w:name w:val="heading 1"/>
    <w:link w:val="Style_43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43_ch" w:type="character">
    <w:name w:val="heading 1"/>
    <w:link w:val="Style_43"/>
    <w:rPr>
      <w:rFonts w:ascii="XO Thames" w:hAnsi="XO Thames"/>
      <w:b w:val="1"/>
      <w:color w:val="000000"/>
      <w:spacing w:val="0"/>
      <w:sz w:val="32"/>
    </w:rPr>
  </w:style>
  <w:style w:styleId="Style_44" w:type="paragraph">
    <w:name w:val="Обычный1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4_ch" w:type="character">
    <w:name w:val="Обычный1"/>
    <w:link w:val="Style_44"/>
    <w:rPr>
      <w:rFonts w:asciiTheme="minorAscii" w:hAnsiTheme="minorHAnsi"/>
      <w:color w:val="000000"/>
      <w:spacing w:val="0"/>
      <w:sz w:val="22"/>
    </w:rPr>
  </w:style>
  <w:style w:styleId="Style_45" w:type="paragraph">
    <w:name w:val="Contents 9"/>
    <w:link w:val="Style_4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5_ch" w:type="character">
    <w:name w:val="Contents 9"/>
    <w:link w:val="Style_45"/>
    <w:rPr>
      <w:rFonts w:ascii="XO Thames" w:hAnsi="XO Thames"/>
      <w:color w:val="000000"/>
      <w:spacing w:val="0"/>
      <w:sz w:val="28"/>
    </w:rPr>
  </w:style>
  <w:style w:styleId="Style_46" w:type="paragraph">
    <w:name w:val="Hyperlink"/>
    <w:link w:val="Style_46_ch"/>
    <w:rPr>
      <w:color w:val="0000FF"/>
      <w:u w:val="single"/>
    </w:rPr>
  </w:style>
  <w:style w:styleId="Style_46_ch" w:type="character">
    <w:name w:val="Hyperlink"/>
    <w:link w:val="Style_46"/>
    <w:rPr>
      <w:color w:val="0000FF"/>
      <w:u w:val="single"/>
    </w:rPr>
  </w:style>
  <w:style w:styleId="Style_47" w:type="paragraph">
    <w:name w:val="Footnote"/>
    <w:link w:val="Style_47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7_ch" w:type="character">
    <w:name w:val="Footnote"/>
    <w:link w:val="Style_47"/>
    <w:rPr>
      <w:rFonts w:ascii="XO Thames" w:hAnsi="XO Thames"/>
      <w:color w:val="000000"/>
      <w:spacing w:val="0"/>
      <w:sz w:val="22"/>
    </w:rPr>
  </w:style>
  <w:style w:styleId="Style_48" w:type="paragraph">
    <w:name w:val="toc 1"/>
    <w:next w:val="Style_2"/>
    <w:link w:val="Style_48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8_ch" w:type="character">
    <w:name w:val="toc 1"/>
    <w:link w:val="Style_48"/>
    <w:rPr>
      <w:rFonts w:ascii="XO Thames" w:hAnsi="XO Thames"/>
      <w:b w:val="1"/>
      <w:color w:val="000000"/>
      <w:spacing w:val="0"/>
      <w:sz w:val="28"/>
    </w:rPr>
  </w:style>
  <w:style w:styleId="Style_49" w:type="paragraph">
    <w:name w:val="Contents 6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Contents 6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Header and Footer"/>
    <w:link w:val="Style_50_ch"/>
    <w:rPr>
      <w:rFonts w:ascii="XO Thames" w:hAnsi="XO Thames"/>
      <w:sz w:val="28"/>
    </w:rPr>
  </w:style>
  <w:style w:styleId="Style_50_ch" w:type="character">
    <w:name w:val="Header and Footer"/>
    <w:link w:val="Style_50"/>
    <w:rPr>
      <w:rFonts w:ascii="XO Thames" w:hAnsi="XO Thames"/>
      <w:sz w:val="28"/>
    </w:rPr>
  </w:style>
  <w:style w:styleId="Style_51" w:type="paragraph">
    <w:name w:val="toc 9"/>
    <w:next w:val="Style_2"/>
    <w:link w:val="Style_51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toc 9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toc 8"/>
    <w:next w:val="Style_2"/>
    <w:link w:val="Style_52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52_ch" w:type="character">
    <w:name w:val="toc 8"/>
    <w:link w:val="Style_52"/>
    <w:rPr>
      <w:rFonts w:ascii="XO Thames" w:hAnsi="XO Thames"/>
      <w:color w:val="000000"/>
      <w:spacing w:val="0"/>
      <w:sz w:val="28"/>
    </w:rPr>
  </w:style>
  <w:style w:styleId="Style_53" w:type="paragraph">
    <w:name w:val="Contents 8"/>
    <w:link w:val="Style_5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3_ch" w:type="character">
    <w:name w:val="Contents 8"/>
    <w:link w:val="Style_53"/>
    <w:rPr>
      <w:rFonts w:ascii="XO Thames" w:hAnsi="XO Thames"/>
      <w:color w:val="000000"/>
      <w:spacing w:val="0"/>
      <w:sz w:val="28"/>
    </w:rPr>
  </w:style>
  <w:style w:styleId="Style_54" w:type="paragraph">
    <w:name w:val="Contents 5"/>
    <w:link w:val="Style_5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4_ch" w:type="character">
    <w:name w:val="Contents 5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Знак примечания1"/>
    <w:basedOn w:val="Style_32"/>
    <w:link w:val="Style_55_ch"/>
    <w:rPr>
      <w:sz w:val="16"/>
    </w:rPr>
  </w:style>
  <w:style w:styleId="Style_55_ch" w:type="character">
    <w:name w:val="Знак примечания1"/>
    <w:basedOn w:val="Style_32_ch"/>
    <w:link w:val="Style_55"/>
    <w:rPr>
      <w:sz w:val="16"/>
    </w:rPr>
  </w:style>
  <w:style w:styleId="Style_56" w:type="paragraph">
    <w:name w:val="Колонтитул"/>
    <w:link w:val="Style_56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56_ch" w:type="character">
    <w:name w:val="Колонтитул"/>
    <w:link w:val="Style_56"/>
    <w:rPr>
      <w:rFonts w:ascii="XO Thames" w:hAnsi="XO Thames"/>
      <w:color w:val="000000"/>
      <w:spacing w:val="0"/>
      <w:sz w:val="28"/>
    </w:rPr>
  </w:style>
  <w:style w:styleId="Style_57" w:type="paragraph">
    <w:name w:val="toc 5"/>
    <w:next w:val="Style_2"/>
    <w:link w:val="Style_57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toc 5"/>
    <w:link w:val="Style_57"/>
    <w:rPr>
      <w:rFonts w:ascii="XO Thames" w:hAnsi="XO Thames"/>
      <w:color w:val="000000"/>
      <w:spacing w:val="0"/>
      <w:sz w:val="28"/>
    </w:rPr>
  </w:style>
  <w:style w:styleId="Style_58" w:type="paragraph">
    <w:name w:val="annotation subject"/>
    <w:basedOn w:val="Style_59"/>
    <w:next w:val="Style_59"/>
    <w:link w:val="Style_58_ch"/>
    <w:rPr>
      <w:b w:val="1"/>
    </w:rPr>
  </w:style>
  <w:style w:styleId="Style_58_ch" w:type="character">
    <w:name w:val="annotation subject"/>
    <w:basedOn w:val="Style_59_ch"/>
    <w:link w:val="Style_58"/>
    <w:rPr>
      <w:b w:val="1"/>
    </w:rPr>
  </w:style>
  <w:style w:styleId="Style_60" w:type="paragraph">
    <w:name w:val="Heading 2"/>
    <w:link w:val="Style_60_ch"/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Заголовок 31"/>
    <w:link w:val="Style_6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6"/>
    </w:rPr>
  </w:style>
  <w:style w:styleId="Style_61_ch" w:type="character">
    <w:name w:val="Заголовок 31"/>
    <w:link w:val="Style_61"/>
    <w:rPr>
      <w:rFonts w:ascii="XO Thames" w:hAnsi="XO Thames"/>
      <w:b w:val="1"/>
      <w:color w:val="000000"/>
      <w:spacing w:val="0"/>
      <w:sz w:val="26"/>
    </w:rPr>
  </w:style>
  <w:style w:styleId="Style_62" w:type="paragraph">
    <w:name w:val="Subtitle"/>
    <w:link w:val="Style_62_ch"/>
    <w:uiPriority w:val="11"/>
    <w:qFormat/>
    <w:rPr>
      <w:rFonts w:ascii="XO Thames" w:hAnsi="XO Thames"/>
      <w:i w:val="1"/>
      <w:sz w:val="24"/>
    </w:rPr>
  </w:style>
  <w:style w:styleId="Style_62_ch" w:type="character">
    <w:name w:val="Subtitle"/>
    <w:link w:val="Style_62"/>
    <w:rPr>
      <w:rFonts w:ascii="XO Thames" w:hAnsi="XO Thames"/>
      <w:i w:val="1"/>
      <w:sz w:val="24"/>
    </w:rPr>
  </w:style>
  <w:style w:styleId="Style_25" w:type="paragraph">
    <w:name w:val="Body Text"/>
    <w:basedOn w:val="Style_2"/>
    <w:link w:val="Style_25_ch"/>
    <w:pPr>
      <w:spacing w:after="140" w:before="0"/>
      <w:ind/>
    </w:pPr>
  </w:style>
  <w:style w:styleId="Style_25_ch" w:type="character">
    <w:name w:val="Body Text"/>
    <w:basedOn w:val="Style_2_ch"/>
    <w:link w:val="Style_25"/>
  </w:style>
  <w:style w:styleId="Style_63" w:type="paragraph">
    <w:name w:val="Title"/>
    <w:link w:val="Style_63_ch"/>
    <w:uiPriority w:val="10"/>
    <w:qFormat/>
    <w:rPr>
      <w:rFonts w:ascii="XO Thames" w:hAnsi="XO Thames"/>
      <w:b w:val="1"/>
      <w:caps w:val="1"/>
      <w:sz w:val="40"/>
    </w:rPr>
  </w:style>
  <w:style w:styleId="Style_63_ch" w:type="character">
    <w:name w:val="Title"/>
    <w:link w:val="Style_63"/>
    <w:rPr>
      <w:rFonts w:ascii="XO Thames" w:hAnsi="XO Thames"/>
      <w:b w:val="1"/>
      <w:caps w:val="1"/>
      <w:sz w:val="40"/>
    </w:rPr>
  </w:style>
  <w:style w:styleId="Style_64" w:type="paragraph">
    <w:name w:val="heading 4"/>
    <w:next w:val="Style_2"/>
    <w:link w:val="Style_64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64_ch" w:type="character">
    <w:name w:val="heading 4"/>
    <w:link w:val="Style_64"/>
    <w:rPr>
      <w:rFonts w:ascii="XO Thames" w:hAnsi="XO Thames"/>
      <w:b w:val="1"/>
      <w:color w:val="000000"/>
      <w:spacing w:val="0"/>
      <w:sz w:val="24"/>
    </w:rPr>
  </w:style>
  <w:style w:styleId="Style_65" w:type="paragraph">
    <w:name w:val="Contents 7"/>
    <w:link w:val="Style_6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5_ch" w:type="character">
    <w:name w:val="Contents 7"/>
    <w:link w:val="Style_65"/>
    <w:rPr>
      <w:rFonts w:ascii="XO Thames" w:hAnsi="XO Thames"/>
      <w:color w:val="000000"/>
      <w:spacing w:val="0"/>
      <w:sz w:val="28"/>
    </w:rPr>
  </w:style>
  <w:style w:styleId="Style_66" w:type="paragraph">
    <w:name w:val="Строгий1"/>
    <w:basedOn w:val="Style_32"/>
    <w:link w:val="Style_66_ch"/>
    <w:rPr>
      <w:b w:val="1"/>
    </w:rPr>
  </w:style>
  <w:style w:styleId="Style_66_ch" w:type="character">
    <w:name w:val="Строгий1"/>
    <w:basedOn w:val="Style_32_ch"/>
    <w:link w:val="Style_66"/>
    <w:rPr>
      <w:b w:val="1"/>
    </w:rPr>
  </w:style>
  <w:style w:styleId="Style_67" w:type="paragraph">
    <w:name w:val="heading 2"/>
    <w:next w:val="Style_2"/>
    <w:link w:val="Style_67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67_ch" w:type="character">
    <w:name w:val="heading 2"/>
    <w:link w:val="Style_67"/>
    <w:rPr>
      <w:rFonts w:ascii="XO Thames" w:hAnsi="XO Thames"/>
      <w:b w:val="1"/>
      <w:color w:val="000000"/>
      <w:spacing w:val="0"/>
      <w:sz w:val="28"/>
    </w:rPr>
  </w:style>
  <w:style w:styleId="Style_68" w:type="paragraph">
    <w:name w:val="Заголовок 11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32"/>
    </w:rPr>
  </w:style>
  <w:style w:styleId="Style_68_ch" w:type="character">
    <w:name w:val="Заголовок 11"/>
    <w:link w:val="Style_68"/>
    <w:rPr>
      <w:rFonts w:ascii="XO Thames" w:hAnsi="XO Thames"/>
      <w:b w:val="1"/>
      <w:color w:val="000000"/>
      <w:spacing w:val="0"/>
      <w:sz w:val="32"/>
    </w:rPr>
  </w:style>
  <w:style w:styleId="Style_59" w:type="paragraph">
    <w:name w:val="annotation text"/>
    <w:basedOn w:val="Style_2"/>
    <w:link w:val="Style_59_ch"/>
    <w:pPr>
      <w:spacing w:line="240" w:lineRule="auto"/>
      <w:ind/>
    </w:pPr>
    <w:rPr>
      <w:sz w:val="20"/>
    </w:rPr>
  </w:style>
  <w:style w:styleId="Style_59_ch" w:type="character">
    <w:name w:val="annotation text"/>
    <w:basedOn w:val="Style_2_ch"/>
    <w:link w:val="Style_59"/>
    <w:rPr>
      <w:sz w:val="20"/>
    </w:rPr>
  </w:style>
  <w:style w:styleId="Style_69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2025-03-13T09:37:39Z</dcterms:modified>
</cp:coreProperties>
</file>