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B000000">
      <w:pPr>
        <w:pStyle w:val="Style_4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6"/>
        </w:rPr>
      </w:pPr>
      <w:r>
        <w:rPr>
          <w:spacing w:val="-4"/>
          <w:sz w:val="28"/>
        </w:rPr>
        <w:t>04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20</w:t>
      </w:r>
      <w:r>
        <w:rPr>
          <w:spacing w:val="-4"/>
          <w:sz w:val="28"/>
        </w:rPr>
        <w:t>12</w:t>
      </w:r>
      <w:r>
        <w:rPr>
          <w:spacing w:val="-4"/>
          <w:sz w:val="28"/>
        </w:rPr>
        <w:t>-П</w:t>
      </w:r>
    </w:p>
    <w:p w14:paraId="0C000000">
      <w:pPr>
        <w:pStyle w:val="Style_4"/>
        <w:widowControl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6"/>
        </w:rPr>
      </w:pPr>
    </w:p>
    <w:p w14:paraId="0D000000">
      <w:pPr>
        <w:pStyle w:val="Style_4"/>
        <w:widowControl w:val="0"/>
        <w:spacing w:after="0" w:before="0" w:line="240" w:lineRule="auto"/>
        <w:ind w:firstLine="0" w:left="0" w:right="453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внесении изменений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15.03.2018 № 2705-П</w:t>
      </w:r>
    </w:p>
    <w:p w14:paraId="0E00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0F000000">
      <w:pPr>
        <w:pStyle w:val="Style_4"/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соответствии с федеральными законами от 06.10.2003 № 131-ФЗ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«Об общих принципах организации местного самоуправления в Российской Федерации», от 12.01.1996 № 8-ФЗ «О погребении и похоронном деле», постановлением Правительства Российской Федерации от 23.01.2025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33 «Об утверждении коэффициента индексации выплат, пособий </w:t>
      </w:r>
      <w:r>
        <w:rPr>
          <w:rFonts w:ascii="Times New Roman" w:hAnsi="Times New Roman"/>
          <w:color w:val="000000"/>
          <w:sz w:val="28"/>
        </w:rPr>
        <w:t xml:space="preserve">и компенсаций в 2025 году», Законом Челябинской области от 27.10.2005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410-ЗО</w:t>
      </w:r>
      <w:r>
        <w:br/>
      </w:r>
      <w:r>
        <w:rPr>
          <w:rFonts w:ascii="Times New Roman" w:hAnsi="Times New Roman"/>
          <w:color w:val="000000"/>
          <w:sz w:val="28"/>
        </w:rPr>
        <w:t>«О возмещении стоимости услуг по погребению и выплате социального пособия на погребение», Решением Магнитогорского городского Собрания депутатов от 28 октября 2014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167 «Об утверждении Положения</w:t>
      </w:r>
      <w:r>
        <w:br/>
      </w:r>
      <w:r>
        <w:rPr>
          <w:rFonts w:ascii="Times New Roman" w:hAnsi="Times New Roman"/>
          <w:color w:val="000000"/>
          <w:sz w:val="28"/>
        </w:rPr>
        <w:t>об организации ритуальных услуг и содержании мест захоронения</w:t>
      </w:r>
      <w:r>
        <w:br/>
      </w:r>
      <w:r>
        <w:rPr>
          <w:rFonts w:ascii="Times New Roman" w:hAnsi="Times New Roman"/>
          <w:color w:val="000000"/>
          <w:sz w:val="28"/>
        </w:rPr>
        <w:t xml:space="preserve">на территории города Магнитогорска», на основании протокола комиссии Магнитогорского городского Собрания депутатов по экономической политике и хозяйственному развитию от </w:t>
      </w:r>
      <w:r>
        <w:rPr>
          <w:rFonts w:ascii="Times New Roman" w:hAnsi="Times New Roman"/>
          <w:color w:val="000000"/>
          <w:sz w:val="28"/>
        </w:rPr>
        <w:t>19 февраля 2025 года</w:t>
      </w:r>
      <w:r>
        <w:rPr>
          <w:rFonts w:ascii="Times New Roman" w:hAnsi="Times New Roman"/>
          <w:color w:val="000000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 руководствуясь Уставом города Магнитогорска,</w:t>
      </w:r>
    </w:p>
    <w:p w14:paraId="1000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100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ПОСТАНОВЛЯЮ:</w:t>
      </w:r>
    </w:p>
    <w:p w14:paraId="12000000">
      <w:pPr>
        <w:pStyle w:val="Style_4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от 15.03.2018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2705-П «О погребении и похоронном деле» (далее </w:t>
      </w:r>
      <w:r>
        <w:rPr>
          <w:rFonts w:ascii="XO Thames" w:hAnsi="XO Thames"/>
          <w:color w:val="000000"/>
          <w:spacing w:val="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постановление) изменения, приложения № 1, 2, 3 к постановлению изложить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в новой редакции (приложения № 1, 2, 3).</w:t>
      </w:r>
    </w:p>
    <w:p w14:paraId="13000000">
      <w:pPr>
        <w:pStyle w:val="Style_4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Настоящее постановление вступает в силу после его официального опубликования.</w:t>
      </w:r>
    </w:p>
    <w:p w14:paraId="14000000">
      <w:pPr>
        <w:pStyle w:val="Style_4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Службе внешних связей и молодежной политики администрации города Магнитогорска (Болкун Н.И.) опубликовать настоящее постановление в средствах массовой информации.</w:t>
      </w:r>
    </w:p>
    <w:p w14:paraId="15000000">
      <w:pPr>
        <w:pStyle w:val="Style_4"/>
        <w:widowControl w:val="0"/>
        <w:tabs>
          <w:tab w:leader="none" w:pos="708" w:val="clear"/>
          <w:tab w:leader="none" w:pos="1134" w:val="left"/>
        </w:tabs>
        <w:spacing w:after="0" w:before="0" w:line="240" w:lineRule="auto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на заместителя главы города Магнитогорска Хваткова А.В.</w:t>
      </w:r>
    </w:p>
    <w:p w14:paraId="16000000">
      <w:pPr>
        <w:pStyle w:val="Style_4"/>
        <w:widowControl w:val="0"/>
        <w:tabs>
          <w:tab w:leader="none" w:pos="708" w:val="clear"/>
          <w:tab w:leader="none" w:pos="2370" w:val="left"/>
        </w:tabs>
        <w:spacing w:after="0" w:before="0" w:line="240" w:lineRule="auto"/>
        <w:ind/>
        <w:jc w:val="both"/>
        <w:rPr>
          <w:rFonts w:ascii="Times New Roman" w:hAnsi="Times New Roman"/>
          <w:color w:val="000000"/>
          <w:sz w:val="20"/>
        </w:rPr>
      </w:pPr>
    </w:p>
    <w:p w14:paraId="1700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sectPr>
          <w:footerReference r:id="rId2" w:type="default"/>
          <w:type w:val="nextPage"/>
          <w:pgSz w:h="16848" w:orient="portrait" w:w="11908"/>
          <w:pgMar w:bottom="1134" w:footer="709" w:gutter="0" w:header="0" w:left="1701" w:right="850" w:top="1134"/>
          <w:pgNumType w:fmt="decimal"/>
        </w:sectPr>
      </w:pPr>
    </w:p>
    <w:p w14:paraId="19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272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1A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272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</w:p>
    <w:p w14:paraId="1B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272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1C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272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04.03.2025 № 2012-П</w:t>
      </w:r>
    </w:p>
    <w:p w14:paraId="1D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jc w:val="right"/>
        <w:rPr>
          <w:rFonts w:ascii="Times New Roman" w:hAnsi="Times New Roman"/>
          <w:color w:val="000000"/>
          <w:sz w:val="24"/>
        </w:rPr>
      </w:pPr>
    </w:p>
    <w:p w14:paraId="1E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272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1</w:t>
      </w:r>
    </w:p>
    <w:p w14:paraId="1F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272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</w:p>
    <w:p w14:paraId="20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272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21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272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15.03.2018 № 2705-П</w:t>
      </w:r>
    </w:p>
    <w:p w14:paraId="22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3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4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-540"/>
        <w:rPr>
          <w:rFonts w:ascii="Times New Roman" w:hAnsi="Times New Roman"/>
          <w:b w:val="1"/>
          <w:color w:val="000000"/>
          <w:sz w:val="24"/>
        </w:rPr>
      </w:pPr>
    </w:p>
    <w:p w14:paraId="25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Стоимость услуг по погребению, согласно гарантированному перечню услуг по погребению, оказываемых на безвозмездной основе лицам, взявшим на себя обязанность осуществить погребение умершего, подлежащих возмещению в установленном законом порядке в соответствии с пунктом 3 статьи 9 Федерального закона «О погребении и похоронном деле», с 01.02.2025</w:t>
      </w:r>
    </w:p>
    <w:p w14:paraId="26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jc w:val="left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603"/>
        <w:gridCol w:w="1904"/>
      </w:tblGrid>
      <w:tr>
        <w:trPr>
          <w:trHeight w:hRule="atLeast" w:val="933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  <w:p w14:paraId="28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6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услуг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(руб.) </w:t>
            </w:r>
          </w:p>
        </w:tc>
      </w:tr>
      <w:tr>
        <w:trPr>
          <w:trHeight w:hRule="atLeast" w:val="515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324,71</w:t>
            </w:r>
          </w:p>
        </w:tc>
      </w:tr>
      <w:t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2 858,28</w:t>
            </w:r>
          </w:p>
        </w:tc>
      </w:tr>
      <w:tr>
        <w:trPr>
          <w:trHeight w:hRule="atLeast" w:val="559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Перевозка тела (останков) умершего на кладбище </w:t>
            </w:r>
          </w:p>
          <w:p w14:paraId="33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(в крематорий)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1 621,80</w:t>
            </w:r>
          </w:p>
        </w:tc>
      </w:tr>
      <w:tr>
        <w:trPr>
          <w:trHeight w:hRule="atLeast" w:val="567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Погребение (кремация с последующей выдачей урны</w:t>
            </w:r>
          </w:p>
          <w:p w14:paraId="37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 прахом)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5 735,39</w:t>
            </w:r>
          </w:p>
        </w:tc>
      </w:tr>
      <w:tr>
        <w:trPr>
          <w:trHeight w:hRule="atLeast" w:val="561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6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стоимость услуг по погребению</w:t>
            </w:r>
          </w:p>
        </w:tc>
        <w:tc>
          <w:tcPr>
            <w:tcW w:type="dxa" w:w="1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10 540,18</w:t>
            </w:r>
          </w:p>
          <w:p w14:paraId="3C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(с учетом уральского коэффициента)</w:t>
            </w:r>
          </w:p>
        </w:tc>
      </w:tr>
    </w:tbl>
    <w:p w14:paraId="3D000000">
      <w:pPr>
        <w:pStyle w:val="Style_4"/>
        <w:spacing w:after="0" w:before="0" w:line="240" w:lineRule="auto"/>
        <w:ind/>
        <w:rPr>
          <w:rFonts w:ascii="Calibri" w:hAnsi="Calibri"/>
          <w:color w:val="000000"/>
        </w:rPr>
      </w:pPr>
    </w:p>
    <w:p w14:paraId="3E000000">
      <w:pPr>
        <w:pStyle w:val="Style_4"/>
        <w:rPr>
          <w:rFonts w:ascii="Calibri" w:hAnsi="Calibri"/>
          <w:color w:val="000000"/>
        </w:rPr>
      </w:pPr>
    </w:p>
    <w:p w14:paraId="3F000000">
      <w:pPr>
        <w:pStyle w:val="Style_4"/>
        <w:rPr>
          <w:rFonts w:ascii="Calibri" w:hAnsi="Calibri"/>
          <w:color w:val="000000"/>
        </w:rPr>
      </w:pPr>
    </w:p>
    <w:p w14:paraId="40000000">
      <w:pPr>
        <w:pStyle w:val="Style_4"/>
        <w:rPr>
          <w:rFonts w:ascii="Calibri" w:hAnsi="Calibri"/>
          <w:color w:val="000000"/>
        </w:rPr>
      </w:pPr>
    </w:p>
    <w:p w14:paraId="41000000">
      <w:pPr>
        <w:pStyle w:val="Style_4"/>
        <w:rPr>
          <w:rFonts w:ascii="Calibri" w:hAnsi="Calibri"/>
          <w:color w:val="000000"/>
        </w:rPr>
      </w:pPr>
    </w:p>
    <w:p w14:paraId="42000000">
      <w:pPr>
        <w:pStyle w:val="Style_4"/>
        <w:rPr>
          <w:rFonts w:ascii="Calibri" w:hAnsi="Calibri"/>
          <w:color w:val="000000"/>
        </w:rPr>
      </w:pPr>
    </w:p>
    <w:p w14:paraId="43000000">
      <w:pPr>
        <w:pStyle w:val="Style_4"/>
        <w:rPr>
          <w:rFonts w:ascii="Calibri" w:hAnsi="Calibri"/>
          <w:color w:val="000000"/>
        </w:rPr>
      </w:pPr>
    </w:p>
    <w:p w14:paraId="44000000">
      <w:pPr>
        <w:pStyle w:val="Style_4"/>
        <w:rPr>
          <w:rFonts w:ascii="Calibri" w:hAnsi="Calibri"/>
          <w:color w:val="000000"/>
        </w:rPr>
      </w:pPr>
    </w:p>
    <w:p w14:paraId="45000000">
      <w:pPr>
        <w:sectPr>
          <w:footerReference r:id="rId4" w:type="default"/>
          <w:type w:val="nextPage"/>
          <w:pgSz w:h="16848" w:orient="portrait" w:w="11908"/>
          <w:pgMar w:bottom="1134" w:footer="0" w:gutter="0" w:header="0" w:left="1701" w:right="850" w:top="1134"/>
          <w:pgNumType w:fmt="decimal"/>
        </w:sectPr>
      </w:pPr>
    </w:p>
    <w:p w14:paraId="46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47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постановлению администрации</w:t>
      </w:r>
    </w:p>
    <w:p w14:paraId="48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49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>04.03.2025 № 2012-П</w:t>
      </w:r>
    </w:p>
    <w:p w14:paraId="4A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</w:p>
    <w:p w14:paraId="4B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2</w:t>
      </w:r>
    </w:p>
    <w:p w14:paraId="4C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</w:p>
    <w:p w14:paraId="4D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4E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15.03.2018 № 2705-П</w:t>
      </w:r>
    </w:p>
    <w:p w14:paraId="4F000000">
      <w:pPr>
        <w:pStyle w:val="Style_4"/>
        <w:widowControl w:val="0"/>
        <w:tabs>
          <w:tab w:leader="none" w:pos="708" w:val="clear"/>
          <w:tab w:leader="none" w:pos="3850" w:val="left"/>
          <w:tab w:leader="none" w:pos="7725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  <w:u w:val="single"/>
        </w:rPr>
      </w:pPr>
    </w:p>
    <w:p w14:paraId="50000000">
      <w:pPr>
        <w:pStyle w:val="Style_4"/>
        <w:widowControl w:val="0"/>
        <w:tabs>
          <w:tab w:leader="none" w:pos="708" w:val="clear"/>
          <w:tab w:leader="none" w:pos="3850" w:val="left"/>
          <w:tab w:leader="none" w:pos="7725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  <w:u w:val="single"/>
        </w:rPr>
      </w:pPr>
    </w:p>
    <w:p w14:paraId="51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p w14:paraId="52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28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Стоимость услуг (социального пособия) по погребению умерших в случае,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предоставляемых согласно гарантированному перечню услуг по погребению, подлежащих возмещению в соответствии с пунктом 3 статьи 9 Федерального закона «О погребении и похоронном деле», с 01.02.2025</w:t>
      </w:r>
    </w:p>
    <w:p w14:paraId="53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283"/>
        <w:jc w:val="center"/>
        <w:rPr>
          <w:rFonts w:ascii="Times New Roman" w:hAnsi="Times New Roman"/>
          <w:b w:val="1"/>
          <w:color w:val="000000"/>
          <w:sz w:val="24"/>
        </w:rPr>
      </w:pPr>
    </w:p>
    <w:tbl>
      <w:tblPr>
        <w:tblStyle w:val="Style_5"/>
        <w:tblW w:type="auto" w:w="0"/>
        <w:jc w:val="left"/>
        <w:tblInd w:type="dxa" w:w="-14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53"/>
        <w:gridCol w:w="6848"/>
        <w:gridCol w:w="1756"/>
      </w:tblGrid>
      <w:tr>
        <w:trPr>
          <w:trHeight w:hRule="atLeast" w:val="586"/>
        </w:trPr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4"/>
              <w:widowControl w:val="0"/>
              <w:tabs>
                <w:tab w:leader="none" w:pos="444" w:val="center"/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  <w:p w14:paraId="55000000">
            <w:pPr>
              <w:pStyle w:val="Style_4"/>
              <w:widowControl w:val="0"/>
              <w:tabs>
                <w:tab w:leader="none" w:pos="444" w:val="center"/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6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услуг</w:t>
            </w:r>
          </w:p>
        </w:tc>
        <w:tc>
          <w:tcPr>
            <w:tcW w:type="dxa" w:w="1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(руб.) </w:t>
            </w:r>
          </w:p>
        </w:tc>
      </w:tr>
      <w:tr>
        <w:trPr>
          <w:trHeight w:hRule="atLeast" w:val="477"/>
        </w:trPr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type="dxa" w:w="1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324,71</w:t>
            </w:r>
          </w:p>
        </w:tc>
      </w:tr>
      <w:tr>
        <w:trPr>
          <w:trHeight w:hRule="atLeast" w:val="555"/>
        </w:trPr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type="dxa" w:w="1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2 858,28</w:t>
            </w:r>
          </w:p>
        </w:tc>
      </w:tr>
      <w:tr>
        <w:trPr>
          <w:trHeight w:hRule="atLeast" w:val="549"/>
        </w:trPr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type="dxa" w:w="1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1 621,80</w:t>
            </w:r>
          </w:p>
        </w:tc>
      </w:tr>
      <w:tr>
        <w:trPr>
          <w:trHeight w:hRule="atLeast" w:val="557"/>
        </w:trPr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Погребение (кремация с последующей выдачей урны с прахом)</w:t>
            </w:r>
          </w:p>
        </w:tc>
        <w:tc>
          <w:tcPr>
            <w:tcW w:type="dxa" w:w="1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5 735,39</w:t>
            </w:r>
          </w:p>
        </w:tc>
      </w:tr>
      <w:tr>
        <w:trPr>
          <w:trHeight w:hRule="atLeast" w:val="1104"/>
        </w:trPr>
        <w:tc>
          <w:tcPr>
            <w:tcW w:type="dxa" w:w="7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8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стоимость услуг по погребению</w:t>
            </w:r>
          </w:p>
        </w:tc>
        <w:tc>
          <w:tcPr>
            <w:tcW w:type="dxa" w:w="175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10 540,18</w:t>
            </w:r>
          </w:p>
          <w:p w14:paraId="67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-57" w:right="-5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(с учетом уральского коэффициента)</w:t>
            </w:r>
          </w:p>
        </w:tc>
      </w:tr>
    </w:tbl>
    <w:p w14:paraId="68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283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69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p w14:paraId="6A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p w14:paraId="6B000000">
      <w:pPr>
        <w:pStyle w:val="Style_4"/>
        <w:ind w:firstLine="0" w:left="142"/>
        <w:rPr>
          <w:rFonts w:ascii="Calibri" w:hAnsi="Calibri"/>
          <w:color w:val="000000"/>
        </w:rPr>
      </w:pPr>
    </w:p>
    <w:p w14:paraId="6C000000">
      <w:pPr>
        <w:pStyle w:val="Style_4"/>
        <w:rPr>
          <w:rFonts w:ascii="Calibri" w:hAnsi="Calibri"/>
          <w:color w:val="000000"/>
        </w:rPr>
      </w:pPr>
    </w:p>
    <w:p w14:paraId="6D000000">
      <w:pPr>
        <w:pStyle w:val="Style_4"/>
        <w:rPr>
          <w:rFonts w:ascii="Calibri" w:hAnsi="Calibri"/>
          <w:color w:val="000000"/>
        </w:rPr>
      </w:pPr>
    </w:p>
    <w:p w14:paraId="6E000000">
      <w:pPr>
        <w:pStyle w:val="Style_4"/>
        <w:rPr>
          <w:rFonts w:ascii="Calibri" w:hAnsi="Calibri"/>
          <w:color w:val="000000"/>
        </w:rPr>
      </w:pPr>
    </w:p>
    <w:p w14:paraId="6F000000">
      <w:pPr>
        <w:pStyle w:val="Style_4"/>
        <w:rPr>
          <w:rFonts w:ascii="Calibri" w:hAnsi="Calibri"/>
          <w:color w:val="000000"/>
        </w:rPr>
      </w:pPr>
    </w:p>
    <w:p w14:paraId="70000000">
      <w:pPr>
        <w:sectPr>
          <w:footerReference r:id="rId3" w:type="default"/>
          <w:type w:val="nextPage"/>
          <w:pgSz w:h="16848" w:orient="portrait" w:w="11908"/>
          <w:pgMar w:bottom="1134" w:footer="0" w:gutter="0" w:header="0" w:left="1701" w:right="850" w:top="1134"/>
          <w:pgNumType w:fmt="decimal"/>
        </w:sectPr>
      </w:pPr>
    </w:p>
    <w:p w14:paraId="71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3</w:t>
      </w:r>
    </w:p>
    <w:p w14:paraId="72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</w:p>
    <w:p w14:paraId="73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74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>
        <w:rPr>
          <w:rFonts w:ascii="Times New Roman" w:hAnsi="Times New Roman"/>
          <w:color w:val="000000"/>
          <w:sz w:val="24"/>
        </w:rPr>
        <w:t>04.03.2025 № 2012-П</w:t>
      </w:r>
    </w:p>
    <w:p w14:paraId="75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</w:p>
    <w:p w14:paraId="76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№ 3</w:t>
      </w:r>
    </w:p>
    <w:p w14:paraId="77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 постановлению администрации </w:t>
      </w:r>
    </w:p>
    <w:p w14:paraId="78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города Магнитогорска</w:t>
      </w:r>
    </w:p>
    <w:p w14:paraId="79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5129" w:left="54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15.03.2018 № 2705-П</w:t>
      </w:r>
    </w:p>
    <w:p w14:paraId="7A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jc w:val="right"/>
        <w:rPr>
          <w:rFonts w:ascii="Times New Roman" w:hAnsi="Times New Roman"/>
          <w:color w:val="000000"/>
          <w:sz w:val="24"/>
        </w:rPr>
      </w:pPr>
    </w:p>
    <w:p w14:paraId="7B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p w14:paraId="7C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p w14:paraId="7D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283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Стоимость услуг (социального пособия) по погребению погибших (умерших),</w:t>
      </w:r>
      <w:r>
        <w:br/>
      </w:r>
      <w:r>
        <w:rPr>
          <w:rFonts w:ascii="Times New Roman" w:hAnsi="Times New Roman"/>
          <w:color w:val="000000"/>
          <w:sz w:val="24"/>
        </w:rPr>
        <w:t>не имеющих супруга, близких родственников, иных родственников либо законного представителя умершего, подлежащих возмещению в соответствии со статьей 12 Федерального закона «О погребении и похоронном деле», с 01.02.2025</w:t>
      </w:r>
    </w:p>
    <w:p w14:paraId="7E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tbl>
      <w:tblPr>
        <w:tblStyle w:val="Style_5"/>
        <w:tblW w:type="auto" w:w="0"/>
        <w:jc w:val="left"/>
        <w:tblInd w:type="dxa" w:w="-147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0"/>
        <w:gridCol w:w="6917"/>
        <w:gridCol w:w="1844"/>
      </w:tblGrid>
      <w:tr>
        <w:trPr>
          <w:trHeight w:hRule="atLeast" w:val="593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00000">
            <w:pPr>
              <w:pStyle w:val="Style_4"/>
              <w:widowControl w:val="0"/>
              <w:tabs>
                <w:tab w:leader="none" w:pos="444" w:val="center"/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</w:p>
          <w:p w14:paraId="80000000">
            <w:pPr>
              <w:pStyle w:val="Style_4"/>
              <w:widowControl w:val="0"/>
              <w:tabs>
                <w:tab w:leader="none" w:pos="444" w:val="center"/>
                <w:tab w:leader="none" w:pos="708" w:val="clear"/>
                <w:tab w:leader="none" w:pos="3850" w:val="left"/>
              </w:tabs>
              <w:spacing w:after="0" w:before="0" w:line="240" w:lineRule="auto"/>
              <w:ind w:firstLine="0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type="dxa" w:w="69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услуг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(руб.) </w:t>
            </w:r>
          </w:p>
          <w:p w14:paraId="83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477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69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324,71</w:t>
            </w:r>
          </w:p>
        </w:tc>
      </w:tr>
      <w:tr>
        <w:trPr>
          <w:trHeight w:hRule="atLeast" w:val="555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69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Облачение тела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368,49</w:t>
            </w:r>
          </w:p>
        </w:tc>
      </w:tr>
      <w:tr>
        <w:trPr>
          <w:trHeight w:hRule="atLeast" w:val="555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69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Предоставление гроба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2 489,79</w:t>
            </w:r>
          </w:p>
        </w:tc>
      </w:tr>
      <w:tr>
        <w:trPr>
          <w:trHeight w:hRule="atLeast" w:val="557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69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Перевозка умершего на кладбище (в крематорий)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1 621,80</w:t>
            </w:r>
          </w:p>
        </w:tc>
      </w:tr>
      <w:tr>
        <w:trPr>
          <w:trHeight w:hRule="atLeast" w:val="551"/>
        </w:trP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69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Погребение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5 735,39</w:t>
            </w:r>
          </w:p>
        </w:tc>
      </w:tr>
      <w:tr>
        <w:tc>
          <w:tcPr>
            <w:tcW w:type="dxa" w:w="8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69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Общая стоимость услуг по погребению</w:t>
            </w:r>
          </w:p>
        </w:tc>
        <w:tc>
          <w:tcPr>
            <w:tcW w:type="dxa" w:w="18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10 540,18</w:t>
            </w:r>
          </w:p>
          <w:p w14:paraId="96000000">
            <w:pPr>
              <w:pStyle w:val="Style_4"/>
              <w:widowControl w:val="0"/>
              <w:tabs>
                <w:tab w:leader="none" w:pos="708" w:val="clear"/>
                <w:tab w:leader="none" w:pos="3850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(с учетом уральского коэффициента)</w:t>
            </w:r>
          </w:p>
        </w:tc>
      </w:tr>
    </w:tbl>
    <w:p w14:paraId="97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p w14:paraId="98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p w14:paraId="99000000">
      <w:pPr>
        <w:pStyle w:val="Style_4"/>
        <w:widowControl w:val="0"/>
        <w:tabs>
          <w:tab w:leader="none" w:pos="708" w:val="clear"/>
          <w:tab w:leader="none" w:pos="3850" w:val="left"/>
        </w:tabs>
        <w:spacing w:after="0" w:before="0" w:line="240" w:lineRule="auto"/>
        <w:ind w:firstLine="0" w:left="540"/>
        <w:rPr>
          <w:rFonts w:ascii="Times New Roman" w:hAnsi="Times New Roman"/>
          <w:color w:val="000000"/>
          <w:sz w:val="24"/>
        </w:rPr>
      </w:pPr>
    </w:p>
    <w:p w14:paraId="9A000000">
      <w:pPr>
        <w:pStyle w:val="Style_4"/>
        <w:spacing w:after="200" w:before="0"/>
        <w:ind/>
        <w:rPr>
          <w:rFonts w:ascii="Times New Roman" w:hAnsi="Times New Roman"/>
          <w:sz w:val="28"/>
        </w:rPr>
      </w:pPr>
      <w:bookmarkStart w:id="1" w:name="_GoBack"/>
      <w:bookmarkEnd w:id="1"/>
    </w:p>
    <w:sectPr>
      <w:headerReference r:id="rId5" w:type="default"/>
      <w:footerReference r:id="rId6" w:type="default"/>
      <w:footerReference r:id="rId1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Вр-2035075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Вр-2035075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Вр-2035075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Вр-2035075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right"/>
      <w:rPr>
        <w:rFonts w:ascii="PT Astra Serif" w:hAnsi="PT Astra Serif"/>
        <w:sz w:val="24"/>
      </w:rPr>
    </w:pPr>
    <w:r>
      <w:rPr>
        <w:rFonts w:ascii="PT Astra Serif" w:hAnsi="PT Astra Serif"/>
        <w:sz w:val="24"/>
      </w:rPr>
      <w:t>Вр-2035075</w:t>
    </w:r>
  </w:p>
</w:ft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3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4_ch" w:type="character">
    <w:name w:val="Normal"/>
    <w:link w:val="Style_4"/>
    <w:rPr>
      <w:rFonts w:asciiTheme="minorAscii" w:hAnsiTheme="minorHAnsi"/>
      <w:color w:val="000000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Заголовок"/>
    <w:basedOn w:val="Style_4"/>
    <w:next w:val="Style_11"/>
    <w:link w:val="Style_10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0_ch" w:type="character">
    <w:name w:val="Заголовок"/>
    <w:basedOn w:val="Style_4_ch"/>
    <w:link w:val="Style_10"/>
    <w:rPr>
      <w:rFonts w:ascii="PT Astra Serif" w:hAnsi="PT Astra Serif"/>
      <w:sz w:val="28"/>
    </w:rPr>
  </w:style>
  <w:style w:styleId="Style_12" w:type="paragraph">
    <w:name w:val="Указатель"/>
    <w:basedOn w:val="Style_4"/>
    <w:link w:val="Style_12_ch"/>
    <w:rPr>
      <w:rFonts w:ascii="PT Astra Serif" w:hAnsi="PT Astra Serif"/>
    </w:rPr>
  </w:style>
  <w:style w:styleId="Style_12_ch" w:type="character">
    <w:name w:val="Указатель"/>
    <w:basedOn w:val="Style_4_ch"/>
    <w:link w:val="Style_12"/>
    <w:rPr>
      <w:rFonts w:ascii="PT Astra Serif" w:hAnsi="PT Astra Serif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" w:type="paragraph">
    <w:name w:val="Foot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4_ch"/>
    <w:link w:val="Style_1"/>
  </w:style>
  <w:style w:styleId="Style_11" w:type="paragraph">
    <w:name w:val="Body Text"/>
    <w:basedOn w:val="Style_4"/>
    <w:link w:val="Style_11_ch"/>
    <w:pPr>
      <w:spacing w:after="140" w:before="0" w:line="276" w:lineRule="auto"/>
      <w:ind/>
    </w:pPr>
  </w:style>
  <w:style w:styleId="Style_11_ch" w:type="character">
    <w:name w:val="Body Text"/>
    <w:basedOn w:val="Style_4_ch"/>
    <w:link w:val="Style_11"/>
  </w:style>
  <w:style w:styleId="Style_16" w:type="paragraph">
    <w:name w:val="List"/>
    <w:basedOn w:val="Style_11"/>
    <w:link w:val="Style_16_ch"/>
    <w:rPr>
      <w:rFonts w:ascii="PT Astra Serif" w:hAnsi="PT Astra Serif"/>
    </w:rPr>
  </w:style>
  <w:style w:styleId="Style_16_ch" w:type="character">
    <w:name w:val="List"/>
    <w:basedOn w:val="Style_11_ch"/>
    <w:link w:val="Style_16"/>
    <w:rPr>
      <w:rFonts w:ascii="PT Astra Serif" w:hAnsi="PT Astra Serif"/>
    </w:rPr>
  </w:style>
  <w:style w:styleId="Style_17" w:type="paragraph">
    <w:name w:val="Caption"/>
    <w:basedOn w:val="Style_4"/>
    <w:link w:val="Style_17_ch"/>
    <w:pPr>
      <w:spacing w:after="120" w:before="120"/>
      <w:ind/>
    </w:pPr>
    <w:rPr>
      <w:rFonts w:ascii="PT Astra Serif" w:hAnsi="PT Astra Serif"/>
      <w:i w:val="1"/>
      <w:sz w:val="24"/>
    </w:rPr>
  </w:style>
  <w:style w:styleId="Style_17_ch" w:type="character">
    <w:name w:val="Caption"/>
    <w:basedOn w:val="Style_4_ch"/>
    <w:link w:val="Style_17"/>
    <w:rPr>
      <w:rFonts w:ascii="PT Astra Serif" w:hAnsi="PT Astra Serif"/>
      <w:i w:val="1"/>
      <w:sz w:val="24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Колонтитул"/>
    <w:basedOn w:val="Style_4"/>
    <w:link w:val="Style_19_ch"/>
  </w:style>
  <w:style w:styleId="Style_19_ch" w:type="character">
    <w:name w:val="Колонтитул"/>
    <w:basedOn w:val="Style_4_ch"/>
    <w:link w:val="Style_19"/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Верхний колонтитул Знак"/>
    <w:basedOn w:val="Style_15"/>
    <w:link w:val="Style_21_ch"/>
  </w:style>
  <w:style w:styleId="Style_21_ch" w:type="character">
    <w:name w:val="Верхний колонтитул Знак"/>
    <w:basedOn w:val="Style_15_ch"/>
    <w:link w:val="Style_21"/>
  </w:style>
  <w:style w:styleId="Style_22" w:type="paragraph">
    <w:name w:val="heading 1"/>
    <w:next w:val="Style_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4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26" w:type="paragraph">
    <w:name w:val="toc 9"/>
    <w:next w:val="Style_4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3" w:type="paragraph">
    <w:name w:val="Header"/>
    <w:basedOn w:val="Style_4"/>
    <w:link w:val="Style_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3_ch" w:type="character">
    <w:name w:val="Header"/>
    <w:basedOn w:val="Style_4_ch"/>
    <w:link w:val="Style_3"/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alloon Text"/>
    <w:basedOn w:val="Style_4"/>
    <w:link w:val="Style_29_ch"/>
    <w:pPr>
      <w:spacing w:after="0" w:before="0" w:line="240" w:lineRule="auto"/>
      <w:ind/>
    </w:pPr>
    <w:rPr>
      <w:rFonts w:ascii="Tahoma" w:hAnsi="Tahoma"/>
      <w:sz w:val="16"/>
    </w:rPr>
  </w:style>
  <w:style w:styleId="Style_29_ch" w:type="character">
    <w:name w:val="Balloon Text"/>
    <w:basedOn w:val="Style_4_ch"/>
    <w:link w:val="Style_29"/>
    <w:rPr>
      <w:rFonts w:ascii="Tahoma" w:hAnsi="Tahoma"/>
      <w:sz w:val="16"/>
    </w:rPr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Нижний колонтитул Знак"/>
    <w:basedOn w:val="Style_15"/>
    <w:link w:val="Style_34_ch"/>
  </w:style>
  <w:style w:styleId="Style_34_ch" w:type="character">
    <w:name w:val="Нижний колонтитул Знак"/>
    <w:basedOn w:val="Style_15_ch"/>
    <w:link w:val="Style_34"/>
  </w:style>
  <w:style w:styleId="Style_35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footer1.xml" Type="http://schemas.openxmlformats.org/officeDocument/2006/relationships/foot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2025-03-05T04:30:32Z</dcterms:modified>
</cp:coreProperties>
</file>