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1930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планировки территории г. Магнитогорска, в границах улиц Дымшица, Калмыкова, Никонова</w:t>
      </w:r>
    </w:p>
    <w:p w14:paraId="0B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30.05.2024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5299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планировки территории г. Магнитогорска, в границах улиц Дымшица, Калмыкова, Никонова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опубликованным в газете «Магнитогорский рабочий»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04.06.2024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57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проекту планировки территории </w:t>
      </w:r>
      <w:r>
        <w:br/>
      </w:r>
      <w:r>
        <w:rPr>
          <w:rFonts w:ascii="Times New Roman" w:hAnsi="Times New Roman"/>
          <w:sz w:val="28"/>
        </w:rPr>
        <w:t>г. Магнитогорска, в границах улиц Дымшица, Калмыкова, Никонова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24.01.2025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</w:t>
      </w:r>
      <w:r>
        <w:rPr>
          <w:rFonts w:ascii="Times New Roman" w:hAnsi="Times New Roman"/>
          <w:sz w:val="28"/>
        </w:rPr>
        <w:t>21.02.2025</w:t>
      </w:r>
      <w:r>
        <w:rPr>
          <w:rFonts w:ascii="Times New Roman" w:hAnsi="Times New Roman"/>
          <w:sz w:val="28"/>
        </w:rPr>
        <w:t xml:space="preserve"> и заключения </w:t>
      </w:r>
      <w: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</w:t>
      </w:r>
      <w:r>
        <w:rPr>
          <w:rFonts w:ascii="Times New Roman" w:hAnsi="Times New Roman"/>
          <w:sz w:val="28"/>
        </w:rPr>
        <w:t>21.02.2025</w:t>
      </w:r>
      <w:r>
        <w:rPr>
          <w:rFonts w:ascii="Times New Roman" w:hAnsi="Times New Roman"/>
          <w:sz w:val="28"/>
        </w:rPr>
        <w:t xml:space="preserve">, опубликованного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21.02.2025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, руководствуясь Уставом города Магнитогорска</w:t>
      </w:r>
    </w:p>
    <w:p w14:paraId="0D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проект планировки территории г. Магнитогорска, </w:t>
      </w:r>
      <w:r>
        <w:br/>
      </w:r>
      <w:r>
        <w:rPr>
          <w:rFonts w:ascii="Times New Roman" w:hAnsi="Times New Roman"/>
          <w:sz w:val="28"/>
        </w:rPr>
        <w:t>в границах улиц Дымшица, Калмыкова, Никонова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С-3700.08-24</w:t>
      </w:r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ООО «</w:t>
      </w:r>
      <w:r>
        <w:rPr>
          <w:rFonts w:ascii="Times New Roman" w:hAnsi="Times New Roman"/>
          <w:sz w:val="28"/>
        </w:rPr>
        <w:t>Стройинжиниринг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3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разбивочный чертеж красных линий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№4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4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</w:t>
      </w:r>
      <w:r>
        <w:rPr>
          <w:rFonts w:ascii="Times New Roman" w:hAnsi="Times New Roman"/>
          <w:sz w:val="28"/>
        </w:rPr>
        <w:t>):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6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 в сети Интернет.</w:t>
      </w:r>
    </w:p>
    <w:p w14:paraId="17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9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D000000">
      <w:pPr>
        <w:tabs>
          <w:tab w:leader="none" w:pos="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главы города Магнитогорска                                                          А.Н. Макарова</w:t>
      </w: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Вр-2056745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2025-03-04T09:12:10Z</dcterms:modified>
</cp:coreProperties>
</file>