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spacing w:after="0" w:line="240" w:lineRule="auto"/>
        <w:ind/>
        <w:jc w:val="center"/>
        <w:rPr>
          <w:rStyle w:val="Style_2_ch"/>
          <w:rFonts w:ascii="Times New Roman" w:hAnsi="Times New Roman"/>
          <w:color w:val="000000"/>
          <w:sz w:val="26"/>
        </w:rPr>
      </w:pPr>
      <w:r>
        <w:rPr>
          <w:rStyle w:val="Style_2_ch"/>
          <w:rFonts w:ascii="Times New Roman" w:hAnsi="Times New Roman"/>
          <w:color w:val="000000"/>
          <w:sz w:val="26"/>
        </w:rPr>
        <w:t xml:space="preserve">Сводный годовой доклад </w:t>
      </w:r>
    </w:p>
    <w:p w14:paraId="08000000">
      <w:pPr>
        <w:spacing w:after="113" w:line="240" w:lineRule="auto"/>
        <w:ind/>
        <w:jc w:val="center"/>
        <w:rPr>
          <w:rStyle w:val="Style_2_ch"/>
          <w:rFonts w:ascii="Times New Roman" w:hAnsi="Times New Roman"/>
          <w:color w:val="000000"/>
          <w:sz w:val="26"/>
        </w:rPr>
      </w:pPr>
      <w:r>
        <w:rPr>
          <w:rStyle w:val="Style_2_ch"/>
          <w:rFonts w:ascii="Times New Roman" w:hAnsi="Times New Roman"/>
          <w:color w:val="000000"/>
          <w:sz w:val="26"/>
        </w:rPr>
        <w:t>о ходе реализации и об оценке эффективности муниципальных программ города Магнитогорска в 2024 году</w:t>
      </w:r>
    </w:p>
    <w:p w14:paraId="09000000">
      <w:pPr>
        <w:spacing w:after="113" w:line="240" w:lineRule="auto"/>
        <w:ind/>
        <w:jc w:val="center"/>
        <w:rPr>
          <w:rStyle w:val="Style_2_ch"/>
          <w:rFonts w:ascii="Times New Roman" w:hAnsi="Times New Roman"/>
          <w:b w:val="0"/>
          <w:color w:val="000000"/>
          <w:sz w:val="26"/>
        </w:rPr>
      </w:pPr>
    </w:p>
    <w:p w14:paraId="0A000000">
      <w:pPr>
        <w:spacing w:after="113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соответствии с Федеральным законом от 28.06.2014 №172-ФЗ «О стратегическом планировании в Российской Федерации» и Законом Челябинской области от 27.11.2014 №63-ЗО «О стратегическом планировании в Челябинской области» муниципальные программы являются документами стратегического планирования.</w:t>
      </w:r>
    </w:p>
    <w:p w14:paraId="0B000000">
      <w:pPr>
        <w:spacing w:after="113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2024 году осуществлялась реализация 16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sz w:val="26"/>
        </w:rPr>
        <w:t>муниципальных программ различной направленности. По каждой муниципальной программе определен ответственный исполнитель из числа органов администрации города Магнитогорска.</w:t>
      </w:r>
    </w:p>
    <w:p w14:paraId="0C000000">
      <w:pPr>
        <w:spacing w:after="113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Подготовка годовых отчетов осуществляется в соответствии с требованиями, установленными Порядком разработки, реализации и оценки эффективности муниципальных программ, утвержденным постановлением администрации города от 11.10.2021 № 11005-П (далее - Порядок).</w:t>
      </w:r>
    </w:p>
    <w:p w14:paraId="0D000000">
      <w:pPr>
        <w:spacing w:after="113" w:line="240" w:lineRule="auto"/>
        <w:ind w:firstLine="708" w:left="0"/>
        <w:jc w:val="both"/>
        <w:rPr>
          <w:rFonts w:ascii="Times New Roman" w:hAnsi="Times New Roman"/>
          <w:color w:val="4A4F64"/>
          <w:sz w:val="26"/>
        </w:rPr>
      </w:pPr>
      <w:r>
        <w:rPr>
          <w:rFonts w:ascii="Times New Roman" w:hAnsi="Times New Roman"/>
          <w:sz w:val="26"/>
        </w:rPr>
        <w:t>Сводный годовой доклад о ходе реализации и об оценке эффективности муниципальных программ сформирован на основе представленных ответственными исполнителями годовых отчетов за 2024 год.</w:t>
      </w:r>
    </w:p>
    <w:p w14:paraId="0E000000">
      <w:pPr>
        <w:spacing w:after="113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Реализация муниципальных программ осуществляется за счет средств федерального, областного, местного бюджетов и внебюджетных источников.</w:t>
      </w:r>
    </w:p>
    <w:p w14:paraId="0F000000">
      <w:pPr>
        <w:spacing w:after="113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2024 году на реализацию муниципальных программ из федерального, областного и местного бюджетов было предусмотрено 25 407 466,51 тыс. рублей, из них освоено 24 605 380,29 тыс. рублей (96,84% от плана). </w:t>
      </w:r>
    </w:p>
    <w:p w14:paraId="10000000">
      <w:pPr>
        <w:spacing w:after="113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Из средств внебюджетных источников запланировано 6 273 441,41 тыс. рублей, фактически направлено 6 089 154,53 тыс. рублей.</w:t>
      </w:r>
    </w:p>
    <w:p w14:paraId="11000000">
      <w:pPr>
        <w:spacing w:after="113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Наибольшая доля освоения в общем объёме финансирования приходится на областной бюд</w:t>
      </w:r>
      <w:r>
        <w:rPr>
          <w:rFonts w:ascii="Times New Roman" w:hAnsi="Times New Roman"/>
          <w:sz w:val="26"/>
        </w:rPr>
        <w:t>жет – 41,27%.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Доля освоения из средств </w:t>
      </w:r>
      <w:r>
        <w:rPr>
          <w:rFonts w:ascii="Times New Roman" w:hAnsi="Times New Roman"/>
          <w:sz w:val="26"/>
        </w:rPr>
        <w:t>местн</w:t>
      </w:r>
      <w:r>
        <w:rPr>
          <w:rFonts w:ascii="Times New Roman" w:hAnsi="Times New Roman"/>
          <w:sz w:val="26"/>
        </w:rPr>
        <w:t>ого</w:t>
      </w:r>
      <w:r>
        <w:rPr>
          <w:rFonts w:ascii="Times New Roman" w:hAnsi="Times New Roman"/>
          <w:sz w:val="26"/>
        </w:rPr>
        <w:t xml:space="preserve"> бюджет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 – 32,57%, ины</w:t>
      </w:r>
      <w:r>
        <w:rPr>
          <w:rFonts w:ascii="Times New Roman" w:hAnsi="Times New Roman"/>
          <w:sz w:val="26"/>
        </w:rPr>
        <w:t>х</w:t>
      </w:r>
      <w:r>
        <w:rPr>
          <w:rFonts w:ascii="Times New Roman" w:hAnsi="Times New Roman"/>
          <w:sz w:val="26"/>
        </w:rPr>
        <w:t xml:space="preserve"> источник</w:t>
      </w:r>
      <w:r>
        <w:rPr>
          <w:rFonts w:ascii="Times New Roman" w:hAnsi="Times New Roman"/>
          <w:sz w:val="26"/>
        </w:rPr>
        <w:t>ов</w:t>
      </w:r>
      <w:r>
        <w:rPr>
          <w:rFonts w:ascii="Times New Roman" w:hAnsi="Times New Roman"/>
          <w:sz w:val="26"/>
        </w:rPr>
        <w:t xml:space="preserve"> (средства предприятий города, средства Фонда развития территорий, платежи заинтересованных лиц на реализацию инициативных проектов, средства спортивных клубов, средства от приносящей доход деятельности) – 20,02%, федеральн</w:t>
      </w:r>
      <w:r>
        <w:rPr>
          <w:rFonts w:ascii="Times New Roman" w:hAnsi="Times New Roman"/>
          <w:sz w:val="26"/>
        </w:rPr>
        <w:t>ого</w:t>
      </w:r>
      <w:r>
        <w:rPr>
          <w:rFonts w:ascii="Times New Roman" w:hAnsi="Times New Roman"/>
          <w:sz w:val="26"/>
        </w:rPr>
        <w:t xml:space="preserve"> бюджет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 – 6,13%.</w:t>
      </w:r>
    </w:p>
    <w:p w14:paraId="12000000">
      <w:pPr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Основные причины неполного освоения средств:</w:t>
      </w:r>
    </w:p>
    <w:p w14:paraId="13000000">
      <w:pPr>
        <w:numPr>
          <w:ilvl w:val="0"/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заявительный характер муниципальной поддержки, выделяемой в рамках муниципальных программ (отсутствие обращений);</w:t>
      </w:r>
    </w:p>
    <w:p w14:paraId="14000000">
      <w:pPr>
        <w:numPr>
          <w:ilvl w:val="0"/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экономия</w:t>
      </w:r>
      <w:r>
        <w:rPr>
          <w:rFonts w:ascii="Times New Roman" w:hAnsi="Times New Roman"/>
          <w:sz w:val="26"/>
        </w:rPr>
        <w:t xml:space="preserve"> бюджетных средств</w:t>
      </w:r>
      <w:r>
        <w:rPr>
          <w:rFonts w:ascii="Times New Roman" w:hAnsi="Times New Roman"/>
          <w:sz w:val="26"/>
        </w:rPr>
        <w:t>, в том числе экономия по итогам конкурсных процедур;</w:t>
      </w:r>
    </w:p>
    <w:p w14:paraId="15000000">
      <w:pPr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 оплата за фактически выполненные работы (оказанные услуги) на основании предъявленных к оплате актов выполненных работ; </w:t>
      </w:r>
    </w:p>
    <w:p w14:paraId="16000000">
      <w:pPr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несвоевременность предоставления исполнителями работ актов для расчетов;</w:t>
      </w:r>
    </w:p>
    <w:p w14:paraId="17000000">
      <w:pPr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оплата за фактически выполненные работы (при расторжении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договора (контракта);</w:t>
      </w:r>
    </w:p>
    <w:p w14:paraId="18000000">
      <w:pPr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нарушение подрядными организациями сроков исполнения и иных условий контрактов;</w:t>
      </w:r>
    </w:p>
    <w:p w14:paraId="19000000">
      <w:pPr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отклонения по выполнению мероприятий предприятиями за счет собственных средств;</w:t>
      </w:r>
    </w:p>
    <w:p w14:paraId="1A000000">
      <w:pPr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отказ от ранее запланированных мероприятий;</w:t>
      </w:r>
    </w:p>
    <w:p w14:paraId="1B000000">
      <w:pPr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перенос реализации мероприятий на 2025 год;</w:t>
      </w:r>
    </w:p>
    <w:p w14:paraId="1C000000">
      <w:pPr>
        <w:spacing w:after="113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отсутствие необходимости в привлечении заемных средств по открытой кредитной линии, и, соответственно, в оплате процентов за пользование заемными средствами.</w:t>
      </w:r>
    </w:p>
    <w:p w14:paraId="1D000000">
      <w:pPr>
        <w:spacing w:after="113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Сводная информация о финансировании муниципальных программ города Магнитогорска в 2024 году представлена в приложении №1.</w:t>
      </w:r>
    </w:p>
    <w:p w14:paraId="1E000000">
      <w:pPr>
        <w:spacing w:after="113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16 муниципальных программах на 2024 год установлено 66 показателей муниципальных программ и 220 показателя структурных элементов муниципальных программ. Общее количество мероприятий, направленных на достижение показателей, – 584. Достижение показателей учтено в оценке эффективности реализации муниципальных программ.</w:t>
      </w:r>
    </w:p>
    <w:p w14:paraId="1F000000">
      <w:pPr>
        <w:spacing w:after="113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Оценка эффективности реализации муниципальных программ проведена в соответствии с методикой, утвержденной Порядком.</w:t>
      </w:r>
    </w:p>
    <w:p w14:paraId="20000000">
      <w:pPr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Каждая муниципальная программа оценена на основе следующих составляющих:</w:t>
      </w:r>
    </w:p>
    <w:p w14:paraId="21000000">
      <w:pPr>
        <w:numPr>
          <w:ilvl w:val="0"/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степень достижения показателей муниципальной программы (структурного элемента);</w:t>
      </w:r>
    </w:p>
    <w:p w14:paraId="22000000">
      <w:pPr>
        <w:numPr>
          <w:ilvl w:val="0"/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степень реализации муниципальной программы (структурного элемента); </w:t>
      </w:r>
    </w:p>
    <w:p w14:paraId="23000000">
      <w:pPr>
        <w:numPr>
          <w:ilvl w:val="0"/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степень соответствия запланированному объему расходов на реализацию структурного элемента; </w:t>
      </w:r>
    </w:p>
    <w:p w14:paraId="24000000">
      <w:pPr>
        <w:numPr>
          <w:ilvl w:val="0"/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оценка исполнения расходов муниципальной программы;</w:t>
      </w:r>
    </w:p>
    <w:p w14:paraId="25000000">
      <w:pPr>
        <w:numPr>
          <w:ilvl w:val="0"/>
          <w:numId w:val="2"/>
        </w:numPr>
        <w:spacing w:after="113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оценка эффективности деятельности ответственного исполнителя и исполнителей муниципальной программы.</w:t>
      </w:r>
    </w:p>
    <w:p w14:paraId="26000000">
      <w:pPr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 итогам оценки эффективности реализации муниципальной программы принимается одно из решений в зависимости от полученного итогового значения:</w:t>
      </w:r>
    </w:p>
    <w:p w14:paraId="27000000">
      <w:pPr>
        <w:numPr>
          <w:ilvl w:val="0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эффективность реализации Программы признается высокой, если значение составляет не менее 0,90. </w:t>
      </w:r>
    </w:p>
    <w:p w14:paraId="28000000">
      <w:pPr>
        <w:numPr>
          <w:ilvl w:val="0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эффективность реализации Программы признается средней, если значение составляет не менее 0,80. </w:t>
      </w:r>
    </w:p>
    <w:p w14:paraId="29000000">
      <w:pPr>
        <w:numPr>
          <w:ilvl w:val="0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эффективность реализации Программы признается удовлетворительной, если значение составляет не менее 0,70.</w:t>
      </w:r>
    </w:p>
    <w:p w14:paraId="2A000000">
      <w:pPr>
        <w:numPr>
          <w:ilvl w:val="0"/>
          <w:numId w:val="3"/>
        </w:numPr>
        <w:spacing w:after="113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эффективность реализации Программы признается неудовлетворительной, если значение составляет менее 0,70.</w:t>
      </w:r>
    </w:p>
    <w:p w14:paraId="2B000000">
      <w:pPr>
        <w:spacing w:after="113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Такой подход позволяет провести комплексную оценку эффективности реализации всех муниципальных программ вне зависимости от сферы их реализации.</w:t>
      </w:r>
    </w:p>
    <w:p w14:paraId="2C000000">
      <w:pPr>
        <w:spacing w:after="113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Сводная рейтинговая оценка эффективности муниципальных программ представлена в приложении №2.</w:t>
      </w:r>
    </w:p>
    <w:p w14:paraId="2D000000">
      <w:pPr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целом средняя эффективность реализации 16 муниципальных программ за 2024 год составила 0,99, из них:</w:t>
      </w:r>
    </w:p>
    <w:p w14:paraId="2E000000">
      <w:pPr>
        <w:numPr>
          <w:ilvl w:val="0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15 муниципальных программ реализованы с высоким уровнем эффективности;</w:t>
      </w:r>
    </w:p>
    <w:p w14:paraId="2F000000">
      <w:pPr>
        <w:numPr>
          <w:ilvl w:val="0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муниципальная программа «Развитие городского пассажирского транспорта в городе Магнитогорске»</w:t>
      </w:r>
      <w:r>
        <w:rPr>
          <w:rFonts w:ascii="Times New Roman" w:hAnsi="Times New Roman"/>
          <w:sz w:val="26"/>
        </w:rPr>
        <w:t xml:space="preserve"> на 2022-2027 годы</w:t>
      </w:r>
      <w:bookmarkStart w:id="1" w:name="_GoBack"/>
      <w:bookmarkEnd w:id="1"/>
      <w:r>
        <w:rPr>
          <w:rFonts w:ascii="Times New Roman" w:hAnsi="Times New Roman"/>
          <w:sz w:val="26"/>
        </w:rPr>
        <w:t xml:space="preserve"> реализована на среднем уровне.</w:t>
      </w:r>
    </w:p>
    <w:p w14:paraId="30000000">
      <w:pPr>
        <w:sectPr>
          <w:headerReference r:id="rId3" w:type="default"/>
          <w:footerReference r:id="rId4" w:type="default"/>
          <w:pgSz w:h="16848" w:orient="portrait" w:w="11908"/>
          <w:pgMar w:bottom="850" w:footer="709" w:gutter="0" w:header="709" w:left="1417" w:right="850" w:top="850"/>
        </w:sectPr>
      </w:pPr>
    </w:p>
    <w:p w14:paraId="31000000">
      <w:pPr>
        <w:spacing w:after="113" w:line="240" w:lineRule="auto"/>
        <w:ind/>
        <w:jc w:val="right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Приложение №1</w:t>
      </w:r>
    </w:p>
    <w:p w14:paraId="32000000">
      <w:pPr>
        <w:spacing w:after="0" w:line="240" w:lineRule="auto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Сводная информация о финансировании муниципальных программ города Магнитогорска в 2024 году</w:t>
      </w:r>
    </w:p>
    <w:p w14:paraId="33000000">
      <w:pPr>
        <w:spacing w:after="113" w:line="240" w:lineRule="auto"/>
        <w:ind/>
        <w:jc w:val="center"/>
        <w:rPr>
          <w:rFonts w:ascii="Times New Roman" w:hAnsi="Times New Roman"/>
          <w:sz w:val="26"/>
        </w:rPr>
      </w:pP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82"/>
        <w:gridCol w:w="4171"/>
        <w:gridCol w:w="3207"/>
        <w:gridCol w:w="1879"/>
        <w:gridCol w:w="1879"/>
        <w:gridCol w:w="1879"/>
        <w:gridCol w:w="1451"/>
      </w:tblGrid>
      <w:tr>
        <w:trPr>
          <w:trHeight w:hRule="atLeast" w:val="1225"/>
          <w:tblHeader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муниципальной программы</w:t>
            </w:r>
          </w:p>
        </w:tc>
        <w:tc>
          <w:tcPr>
            <w:tcW w:type="dxa" w:w="3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программой </w:t>
            </w:r>
          </w:p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2024 год,</w:t>
            </w:r>
          </w:p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тыс. руб.</w:t>
            </w:r>
          </w:p>
        </w:tc>
        <w:tc>
          <w:tcPr>
            <w:tcW w:type="dxa" w:w="1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Исполнение </w:t>
            </w:r>
          </w:p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01.01.2025 года, </w:t>
            </w:r>
          </w:p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type="dxa" w:w="1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Отклонение, </w:t>
            </w:r>
          </w:p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тыс.руб.</w:t>
            </w:r>
          </w:p>
        </w:tc>
        <w:tc>
          <w:tcPr>
            <w:tcW w:type="dxa" w:w="1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% исполнения </w:t>
            </w:r>
          </w:p>
        </w:tc>
      </w:tr>
      <w:tr>
        <w:trPr>
          <w:trHeight w:hRule="atLeast" w:val="720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«Развитие образования в городе Магнитогорске» на 2022-2027 годы</w:t>
            </w:r>
          </w:p>
        </w:tc>
        <w:tc>
          <w:tcPr>
            <w:tcW w:type="dxa" w:w="3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администрации города 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9 477 541,59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9 461 888,73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-15 652,86</w:t>
            </w:r>
          </w:p>
        </w:tc>
        <w:tc>
          <w:tcPr>
            <w:tcW w:type="dxa" w:w="1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99,83%</w:t>
            </w:r>
          </w:p>
        </w:tc>
      </w:tr>
      <w:tr>
        <w:trPr>
          <w:trHeight w:hRule="atLeast" w:val="1230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«Социальное обслуживание и социальная поддержка жителей города Магнитогорска» на 2022-2027 годы</w:t>
            </w:r>
          </w:p>
        </w:tc>
        <w:tc>
          <w:tcPr>
            <w:tcW w:type="dxa" w:w="3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социальной защиты населения администрации города 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3 681 557,00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3 654 243,36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-27 313,64</w:t>
            </w:r>
          </w:p>
        </w:tc>
        <w:tc>
          <w:tcPr>
            <w:tcW w:type="dxa" w:w="1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99,26%</w:t>
            </w:r>
          </w:p>
        </w:tc>
      </w:tr>
      <w:tr>
        <w:trPr>
          <w:trHeight w:hRule="atLeast" w:val="765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«Развитие культуры в городе Магнитогорске» на 2022-2027 годы</w:t>
            </w:r>
          </w:p>
        </w:tc>
        <w:tc>
          <w:tcPr>
            <w:tcW w:type="dxa" w:w="3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культуры администрации города 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765 639,10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764 192,43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-1 446,67</w:t>
            </w:r>
          </w:p>
        </w:tc>
        <w:tc>
          <w:tcPr>
            <w:tcW w:type="dxa" w:w="1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99,81%</w:t>
            </w:r>
          </w:p>
        </w:tc>
      </w:tr>
      <w:tr>
        <w:trPr>
          <w:trHeight w:hRule="atLeast" w:val="1032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«Развитие физической культуры и спорта в городе Магнитогорске» на 2022-2027 годы</w:t>
            </w:r>
          </w:p>
        </w:tc>
        <w:tc>
          <w:tcPr>
            <w:tcW w:type="dxa" w:w="3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по физической культуре и спорту администрации города 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570 354,10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570 187,37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-166,73</w:t>
            </w:r>
          </w:p>
        </w:tc>
        <w:tc>
          <w:tcPr>
            <w:tcW w:type="dxa" w:w="1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99,97 %</w:t>
            </w:r>
          </w:p>
        </w:tc>
      </w:tr>
      <w:tr>
        <w:trPr>
          <w:trHeight w:hRule="atLeast" w:val="1032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«Энергосбережение и повышение энергетической эффективности в городе Магнитогорске» на 2022-2027 годы</w:t>
            </w:r>
          </w:p>
        </w:tc>
        <w:tc>
          <w:tcPr>
            <w:tcW w:type="dxa" w:w="3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транспорта и коммунального хозяйства администрации города 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283 494,93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296 134,26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12 639,33</w:t>
            </w:r>
          </w:p>
        </w:tc>
        <w:tc>
          <w:tcPr>
            <w:tcW w:type="dxa" w:w="1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104,46% </w:t>
            </w:r>
          </w:p>
        </w:tc>
      </w:tr>
      <w:tr>
        <w:trPr>
          <w:trHeight w:hRule="atLeast" w:val="1314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«Жилье в городе Магнитогорске» на 2022-2027 годы</w:t>
            </w:r>
          </w:p>
        </w:tc>
        <w:tc>
          <w:tcPr>
            <w:tcW w:type="dxa" w:w="3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Комитет по управлению имуществом и земельными отношениями администрации города </w:t>
            </w:r>
          </w:p>
        </w:tc>
        <w:tc>
          <w:tcPr>
            <w:tcW w:type="dxa" w:w="187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224 944,14</w:t>
            </w:r>
          </w:p>
        </w:tc>
        <w:tc>
          <w:tcPr>
            <w:tcW w:type="dxa" w:w="187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221 201,08</w:t>
            </w:r>
          </w:p>
        </w:tc>
        <w:tc>
          <w:tcPr>
            <w:tcW w:type="dxa" w:w="187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-3 743,06</w:t>
            </w:r>
          </w:p>
        </w:tc>
        <w:tc>
          <w:tcPr>
            <w:tcW w:type="dxa" w:w="1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98,34%</w:t>
            </w:r>
          </w:p>
        </w:tc>
      </w:tr>
      <w:tr>
        <w:trPr>
          <w:trHeight w:hRule="atLeast" w:val="1032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4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«Развитие городского пассажирского транспорта в городе Магнитогорске» на 2022-2027 годы</w:t>
            </w:r>
          </w:p>
        </w:tc>
        <w:tc>
          <w:tcPr>
            <w:tcW w:type="dxa" w:w="3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транспорта и коммунального хозяйства администрации города 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1 903 967,98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1 469 137,41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-434 830,57</w:t>
            </w:r>
          </w:p>
        </w:tc>
        <w:tc>
          <w:tcPr>
            <w:tcW w:type="dxa" w:w="1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77,16% </w:t>
            </w:r>
          </w:p>
        </w:tc>
      </w:tr>
      <w:tr>
        <w:trPr>
          <w:trHeight w:hRule="atLeast" w:val="1032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4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«Развитие дорожного хозяйства и благоустройства города Магнитогорска» на 2022-2027 годы</w:t>
            </w:r>
          </w:p>
        </w:tc>
        <w:tc>
          <w:tcPr>
            <w:tcW w:type="dxa" w:w="3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транспорта и коммунального хозяйства администрации города 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4 910 133,39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4 711 639,04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-198 494,35</w:t>
            </w:r>
          </w:p>
        </w:tc>
        <w:tc>
          <w:tcPr>
            <w:tcW w:type="dxa" w:w="1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95,96% </w:t>
            </w:r>
          </w:p>
        </w:tc>
      </w:tr>
      <w:tr>
        <w:trPr>
          <w:trHeight w:hRule="atLeast" w:val="1032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4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«Формирование комфортной городской среды в городе Магнитогорске на 2022-2027 годы»</w:t>
            </w:r>
          </w:p>
        </w:tc>
        <w:tc>
          <w:tcPr>
            <w:tcW w:type="dxa" w:w="3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транспорта и коммунального хозяйства администрации города </w:t>
            </w:r>
          </w:p>
        </w:tc>
        <w:tc>
          <w:tcPr>
            <w:tcW w:type="dxa" w:w="187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264 663,33</w:t>
            </w:r>
          </w:p>
        </w:tc>
        <w:tc>
          <w:tcPr>
            <w:tcW w:type="dxa" w:w="187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262 371,18</w:t>
            </w:r>
          </w:p>
        </w:tc>
        <w:tc>
          <w:tcPr>
            <w:tcW w:type="dxa" w:w="187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-2 292,15</w:t>
            </w:r>
          </w:p>
        </w:tc>
        <w:tc>
          <w:tcPr>
            <w:tcW w:type="dxa" w:w="1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99,13%</w:t>
            </w:r>
          </w:p>
        </w:tc>
      </w:tr>
      <w:tr>
        <w:trPr>
          <w:trHeight w:hRule="atLeast" w:val="1498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4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«Капитальное строительство, реконструкция и капитальный ремонт объектов муниципальной собственности города Магнитогорска» на 2022-2027 годы</w:t>
            </w:r>
          </w:p>
        </w:tc>
        <w:tc>
          <w:tcPr>
            <w:tcW w:type="dxa" w:w="3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транспорта и коммунального хозяйства администрации города </w:t>
            </w:r>
          </w:p>
        </w:tc>
        <w:tc>
          <w:tcPr>
            <w:tcW w:type="dxa" w:w="1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2 020 287,88</w:t>
            </w:r>
          </w:p>
        </w:tc>
        <w:tc>
          <w:tcPr>
            <w:tcW w:type="dxa" w:w="1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1 974 770,22</w:t>
            </w:r>
          </w:p>
        </w:tc>
        <w:tc>
          <w:tcPr>
            <w:tcW w:type="dxa" w:w="1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-45 517,66</w:t>
            </w:r>
          </w:p>
        </w:tc>
        <w:tc>
          <w:tcPr>
            <w:tcW w:type="dxa" w:w="1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97,75%</w:t>
            </w:r>
          </w:p>
        </w:tc>
      </w:tr>
      <w:tr>
        <w:trPr>
          <w:trHeight w:hRule="atLeast" w:val="1320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4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«Безопасность в городе Магнитогорске» на 2022-2027 годы</w:t>
            </w:r>
          </w:p>
        </w:tc>
        <w:tc>
          <w:tcPr>
            <w:tcW w:type="dxa" w:w="3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охраны окружающей среды и экологического контроля администрации города </w:t>
            </w:r>
          </w:p>
        </w:tc>
        <w:tc>
          <w:tcPr>
            <w:tcW w:type="dxa" w:w="187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6 268 963,01</w:t>
            </w:r>
          </w:p>
        </w:tc>
        <w:tc>
          <w:tcPr>
            <w:tcW w:type="dxa" w:w="187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6 060 798,43</w:t>
            </w:r>
          </w:p>
        </w:tc>
        <w:tc>
          <w:tcPr>
            <w:tcW w:type="dxa" w:w="187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-208 164,58</w:t>
            </w:r>
          </w:p>
        </w:tc>
        <w:tc>
          <w:tcPr>
            <w:tcW w:type="dxa" w:w="1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96,68%</w:t>
            </w:r>
          </w:p>
        </w:tc>
      </w:tr>
      <w:tr>
        <w:trPr>
          <w:trHeight w:hRule="atLeast" w:val="1560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4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«Развитие информационного общества в Магнитогорском городском округе»</w:t>
            </w:r>
          </w:p>
        </w:tc>
        <w:tc>
          <w:tcPr>
            <w:tcW w:type="dxa" w:w="3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информационных технологий и телекоммуникаций администрации города 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22 725,38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21 830,98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-894,40</w:t>
            </w:r>
          </w:p>
        </w:tc>
        <w:tc>
          <w:tcPr>
            <w:tcW w:type="dxa" w:w="1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96,06%</w:t>
            </w:r>
          </w:p>
        </w:tc>
      </w:tr>
      <w:tr>
        <w:trPr>
          <w:trHeight w:hRule="atLeast" w:val="1032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4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«Развитие туризма в городе Магнитогорске» на 2022-2027 годы</w:t>
            </w:r>
          </w:p>
        </w:tc>
        <w:tc>
          <w:tcPr>
            <w:tcW w:type="dxa" w:w="3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экономики и инвестиций администрации города 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869,05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806,85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-62,20</w:t>
            </w:r>
          </w:p>
        </w:tc>
        <w:tc>
          <w:tcPr>
            <w:tcW w:type="dxa" w:w="1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92,84%</w:t>
            </w:r>
          </w:p>
        </w:tc>
      </w:tr>
      <w:tr>
        <w:trPr>
          <w:trHeight w:hRule="atLeast" w:val="1314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4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«Экономическое развитие и формирование инвестиционной привлекательности города Магнитогорска» на 2022-2027 годы</w:t>
            </w:r>
          </w:p>
        </w:tc>
        <w:tc>
          <w:tcPr>
            <w:tcW w:type="dxa" w:w="3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экономики и инвестиций администрации города 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2 960,00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2 960,00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100,00%</w:t>
            </w:r>
          </w:p>
        </w:tc>
      </w:tr>
      <w:tr>
        <w:trPr>
          <w:trHeight w:hRule="atLeast" w:val="885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4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«Управление финансами в городе Магнитогорске» на 2022-2027 годы</w:t>
            </w:r>
          </w:p>
        </w:tc>
        <w:tc>
          <w:tcPr>
            <w:tcW w:type="dxa" w:w="3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финансов администрации города 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136 826,04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111 194,61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-25 631,43</w:t>
            </w:r>
          </w:p>
        </w:tc>
        <w:tc>
          <w:tcPr>
            <w:tcW w:type="dxa" w:w="1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81,27%</w:t>
            </w:r>
          </w:p>
        </w:tc>
      </w:tr>
      <w:tr>
        <w:trPr>
          <w:trHeight w:hRule="atLeast" w:val="1032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4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«Управление и обеспечение деятельности администрации города Магнитогорска» на 2022-2027 годы</w:t>
            </w:r>
          </w:p>
        </w:tc>
        <w:tc>
          <w:tcPr>
            <w:tcW w:type="dxa" w:w="3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города </w:t>
            </w:r>
          </w:p>
        </w:tc>
        <w:tc>
          <w:tcPr>
            <w:tcW w:type="dxa" w:w="187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1 145 981,00</w:t>
            </w:r>
          </w:p>
        </w:tc>
        <w:tc>
          <w:tcPr>
            <w:tcW w:type="dxa" w:w="187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1 111 178,87</w:t>
            </w:r>
          </w:p>
        </w:tc>
        <w:tc>
          <w:tcPr>
            <w:tcW w:type="dxa" w:w="187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-34 802,13</w:t>
            </w:r>
          </w:p>
        </w:tc>
        <w:tc>
          <w:tcPr>
            <w:tcW w:type="dxa" w:w="1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96,96% </w:t>
            </w:r>
          </w:p>
        </w:tc>
      </w:tr>
      <w:tr>
        <w:trPr>
          <w:trHeight w:hRule="atLeast" w:val="672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4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ВСЕГО</w:t>
            </w:r>
          </w:p>
        </w:tc>
        <w:tc>
          <w:tcPr>
            <w:tcW w:type="dxa" w:w="32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31 680 907,92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30 694 534,82</w:t>
            </w:r>
          </w:p>
        </w:tc>
        <w:tc>
          <w:tcPr>
            <w:tcW w:type="dxa" w:w="18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-986 373,10</w:t>
            </w:r>
          </w:p>
        </w:tc>
        <w:tc>
          <w:tcPr>
            <w:tcW w:type="dxa" w:w="1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96,89%</w:t>
            </w:r>
          </w:p>
        </w:tc>
      </w:tr>
    </w:tbl>
    <w:p w14:paraId="B8000000">
      <w:pPr>
        <w:spacing w:after="0" w:line="240" w:lineRule="auto"/>
        <w:ind w:firstLine="708" w:left="0"/>
        <w:jc w:val="center"/>
        <w:rPr>
          <w:rFonts w:ascii="Times New Roman" w:hAnsi="Times New Roman"/>
          <w:sz w:val="24"/>
        </w:rPr>
      </w:pPr>
    </w:p>
    <w:p w14:paraId="B9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BA000000">
      <w:pPr>
        <w:spacing w:after="113" w:line="240" w:lineRule="auto"/>
        <w:ind/>
        <w:jc w:val="both"/>
        <w:rPr>
          <w:rFonts w:ascii="Times New Roman" w:hAnsi="Times New Roman"/>
          <w:sz w:val="26"/>
        </w:rPr>
      </w:pPr>
    </w:p>
    <w:p w14:paraId="BB000000">
      <w:pPr>
        <w:sectPr>
          <w:headerReference r:id="rId5" w:type="default"/>
          <w:footerReference r:id="rId6" w:type="default"/>
          <w:pgSz w:h="11908" w:orient="landscape" w:w="16848"/>
          <w:pgMar w:bottom="850" w:footer="709" w:gutter="0" w:header="709" w:left="850" w:right="850" w:top="850"/>
        </w:sectPr>
      </w:pPr>
    </w:p>
    <w:p w14:paraId="BC000000">
      <w:pPr>
        <w:ind w:firstLine="708" w:left="0"/>
        <w:jc w:val="right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Приложение №2</w:t>
      </w:r>
    </w:p>
    <w:p w14:paraId="BD000000">
      <w:pPr>
        <w:spacing w:after="0" w:line="240" w:lineRule="auto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Сводная рейтинговая оценка эффективности муниципальных программ за 2024 год</w:t>
      </w:r>
    </w:p>
    <w:p w14:paraId="BE000000">
      <w:pPr>
        <w:spacing w:after="0" w:line="240" w:lineRule="auto"/>
        <w:ind/>
        <w:jc w:val="center"/>
        <w:rPr>
          <w:rFonts w:ascii="Times New Roman" w:hAnsi="Times New Roman"/>
          <w:sz w:val="26"/>
        </w:rPr>
      </w:pP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45"/>
        <w:gridCol w:w="3884"/>
        <w:gridCol w:w="3248"/>
        <w:gridCol w:w="1865"/>
      </w:tblGrid>
      <w:tr>
        <w:trPr>
          <w:trHeight w:hRule="atLeast" w:val="1244"/>
          <w:tblHeader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38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муниципальной программы</w:t>
            </w:r>
          </w:p>
        </w:tc>
        <w:tc>
          <w:tcPr>
            <w:tcW w:type="dxa" w:w="32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86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Эффективность реализации муниципальной программы</w:t>
            </w:r>
          </w:p>
        </w:tc>
      </w:tr>
      <w:tr>
        <w:trPr>
          <w:trHeight w:hRule="atLeast" w:val="705"/>
        </w:trPr>
        <w:tc>
          <w:tcPr>
            <w:tcW w:type="dxa" w:w="964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Муниципальные программы с высокой эффективностью реализации </w:t>
            </w:r>
          </w:p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(значение не менее 0,90)</w:t>
            </w:r>
          </w:p>
        </w:tc>
      </w:tr>
      <w:tr>
        <w:trPr>
          <w:trHeight w:hRule="atLeast" w:val="952"/>
        </w:trPr>
        <w:tc>
          <w:tcPr>
            <w:tcW w:type="dxa" w:w="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«Формирование комфортной городской среды в городе Магнитогорске на 2022-2027 годы»</w:t>
            </w:r>
          </w:p>
        </w:tc>
        <w:tc>
          <w:tcPr>
            <w:tcW w:type="dxa" w:w="32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транспорта и коммунального хозяйства администрации города </w:t>
            </w:r>
          </w:p>
        </w:tc>
        <w:tc>
          <w:tcPr>
            <w:tcW w:type="dxa" w:w="18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1,07</w:t>
            </w:r>
          </w:p>
        </w:tc>
      </w:tr>
      <w:tr>
        <w:trPr>
          <w:trHeight w:hRule="atLeast" w:val="773"/>
        </w:trPr>
        <w:tc>
          <w:tcPr>
            <w:tcW w:type="dxa" w:w="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8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«Развитие образования в городе Магнитогорске» на 2022-2027 годы</w:t>
            </w:r>
          </w:p>
        </w:tc>
        <w:tc>
          <w:tcPr>
            <w:tcW w:type="dxa" w:w="32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администрации города </w:t>
            </w:r>
          </w:p>
        </w:tc>
        <w:tc>
          <w:tcPr>
            <w:tcW w:type="dxa" w:w="18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1,03</w:t>
            </w:r>
          </w:p>
        </w:tc>
      </w:tr>
      <w:tr>
        <w:trPr>
          <w:trHeight w:hRule="atLeast" w:val="1306"/>
        </w:trPr>
        <w:tc>
          <w:tcPr>
            <w:tcW w:type="dxa" w:w="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«Жилье в городе Магнитогорске» на 2022-2027 годы</w:t>
            </w:r>
          </w:p>
        </w:tc>
        <w:tc>
          <w:tcPr>
            <w:tcW w:type="dxa" w:w="32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Комитет по управлению имуществом и земельными отношениями администрации города </w:t>
            </w:r>
          </w:p>
        </w:tc>
        <w:tc>
          <w:tcPr>
            <w:tcW w:type="dxa" w:w="18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1,02</w:t>
            </w:r>
          </w:p>
        </w:tc>
      </w:tr>
      <w:tr>
        <w:trPr>
          <w:trHeight w:hRule="atLeast" w:val="757"/>
        </w:trPr>
        <w:tc>
          <w:tcPr>
            <w:tcW w:type="dxa" w:w="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«Развитие культуры в городе Магнитогорске» на 2022-2027 годы</w:t>
            </w:r>
          </w:p>
        </w:tc>
        <w:tc>
          <w:tcPr>
            <w:tcW w:type="dxa" w:w="32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культуры администрации города </w:t>
            </w:r>
          </w:p>
        </w:tc>
        <w:tc>
          <w:tcPr>
            <w:tcW w:type="dxa" w:w="18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1,02</w:t>
            </w:r>
          </w:p>
        </w:tc>
      </w:tr>
      <w:tr>
        <w:trPr>
          <w:trHeight w:hRule="atLeast" w:val="1215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«Социальное обслуживание и социальная поддержка жителей города Магнитогорска» на 2022-2027 годы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социальной защиты населения администрации города </w:t>
            </w:r>
          </w:p>
        </w:tc>
        <w:tc>
          <w:tcPr>
            <w:tcW w:type="dxa" w:w="1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1,01</w:t>
            </w:r>
          </w:p>
        </w:tc>
      </w:tr>
      <w:tr>
        <w:trPr>
          <w:trHeight w:hRule="atLeast" w:val="1266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«Экономическое развитие и формирование инвестиционной привлекательности города Магнитогорска» на 2022-2027 годы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экономики и инвестиций администрации города </w:t>
            </w:r>
          </w:p>
        </w:tc>
        <w:tc>
          <w:tcPr>
            <w:tcW w:type="dxa" w:w="1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1,00</w:t>
            </w:r>
          </w:p>
        </w:tc>
      </w:tr>
      <w:tr>
        <w:trPr>
          <w:trHeight w:hRule="atLeast" w:val="1257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«Управление и обеспечение деятельности администрации города Магнитогорска» на 2022-2027 годы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города </w:t>
            </w:r>
          </w:p>
        </w:tc>
        <w:tc>
          <w:tcPr>
            <w:tcW w:type="dxa" w:w="1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0,99</w:t>
            </w:r>
          </w:p>
        </w:tc>
      </w:tr>
      <w:tr>
        <w:trPr>
          <w:trHeight w:hRule="atLeast" w:val="1323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«Энергосбережение и повышение энергетической эффективности в городе Магнитогорске» на 2022-2027 годы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транспорта и коммунального хозяйства администрации города </w:t>
            </w:r>
          </w:p>
        </w:tc>
        <w:tc>
          <w:tcPr>
            <w:tcW w:type="dxa" w:w="1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0,99</w:t>
            </w:r>
          </w:p>
        </w:tc>
      </w:tr>
      <w:tr>
        <w:trPr>
          <w:trHeight w:hRule="atLeast" w:val="952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«Развитие дорожного хозяйства и благоустройства города Магнитогорска» на 2022-2027 годы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транспорта и коммунального хозяйства администрации города </w:t>
            </w:r>
          </w:p>
        </w:tc>
        <w:tc>
          <w:tcPr>
            <w:tcW w:type="dxa" w:w="1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0,98</w:t>
            </w:r>
          </w:p>
        </w:tc>
      </w:tr>
      <w:tr>
        <w:trPr>
          <w:trHeight w:hRule="atLeast" w:val="1547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«Капитальное строительство, реконструкция и капитальный ремонт объектов муниципальной собственности города Магнитогорска» на 2022-2027 годы</w:t>
            </w:r>
          </w:p>
        </w:tc>
        <w:tc>
          <w:tcPr>
            <w:tcW w:type="dxa" w:w="32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транспорта и коммунального хозяйства администрации города </w:t>
            </w:r>
          </w:p>
        </w:tc>
        <w:tc>
          <w:tcPr>
            <w:tcW w:type="dxa" w:w="186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0,98</w:t>
            </w:r>
          </w:p>
        </w:tc>
      </w:tr>
      <w:tr>
        <w:trPr>
          <w:trHeight w:hRule="atLeast" w:val="952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«Развитие туризма в городе Магнитогорске» на 2022-2027 годы</w:t>
            </w:r>
          </w:p>
        </w:tc>
        <w:tc>
          <w:tcPr>
            <w:tcW w:type="dxa" w:w="3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экономики и инвестиций администрации города </w:t>
            </w:r>
          </w:p>
        </w:tc>
        <w:tc>
          <w:tcPr>
            <w:tcW w:type="dxa" w:w="1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0,98</w:t>
            </w:r>
          </w:p>
        </w:tc>
      </w:tr>
      <w:tr>
        <w:trPr>
          <w:trHeight w:hRule="atLeast" w:val="724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«Управление финансами в городе Магнитогорске» на 2022-2027 годы</w:t>
            </w:r>
          </w:p>
        </w:tc>
        <w:tc>
          <w:tcPr>
            <w:tcW w:type="dxa" w:w="32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финансов администрации города </w:t>
            </w:r>
          </w:p>
        </w:tc>
        <w:tc>
          <w:tcPr>
            <w:tcW w:type="dxa" w:w="186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0,98</w:t>
            </w:r>
          </w:p>
        </w:tc>
      </w:tr>
      <w:tr>
        <w:trPr>
          <w:trHeight w:hRule="atLeast" w:val="1542"/>
        </w:trPr>
        <w:tc>
          <w:tcPr>
            <w:tcW w:type="dxa" w:w="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«Развитие информационного общества в Магнитогорском городском округе»</w:t>
            </w:r>
          </w:p>
        </w:tc>
        <w:tc>
          <w:tcPr>
            <w:tcW w:type="dxa" w:w="32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информационных технологий и телекоммуникаций администрации города </w:t>
            </w:r>
          </w:p>
        </w:tc>
        <w:tc>
          <w:tcPr>
            <w:tcW w:type="dxa" w:w="18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0,97</w:t>
            </w:r>
          </w:p>
        </w:tc>
      </w:tr>
      <w:tr>
        <w:trPr>
          <w:trHeight w:hRule="atLeast" w:val="1272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«Безопасность в городе Магнитогорске» на 2022-2027 годы</w:t>
            </w:r>
          </w:p>
        </w:tc>
        <w:tc>
          <w:tcPr>
            <w:tcW w:type="dxa" w:w="32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охраны окружающей среды и экологического контроля администрации города </w:t>
            </w:r>
          </w:p>
        </w:tc>
        <w:tc>
          <w:tcPr>
            <w:tcW w:type="dxa" w:w="186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0,97</w:t>
            </w:r>
          </w:p>
        </w:tc>
      </w:tr>
      <w:tr>
        <w:trPr>
          <w:trHeight w:hRule="atLeast" w:val="952"/>
        </w:trPr>
        <w:tc>
          <w:tcPr>
            <w:tcW w:type="dxa" w:w="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«Развитие физической культуры и спорта в городе Магнитогорске» на 2022-2027 годы</w:t>
            </w:r>
          </w:p>
        </w:tc>
        <w:tc>
          <w:tcPr>
            <w:tcW w:type="dxa" w:w="32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по физической культуре и спорту администрации города </w:t>
            </w:r>
          </w:p>
        </w:tc>
        <w:tc>
          <w:tcPr>
            <w:tcW w:type="dxa" w:w="18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0,97</w:t>
            </w:r>
          </w:p>
        </w:tc>
      </w:tr>
      <w:tr>
        <w:trPr>
          <w:trHeight w:hRule="atLeast" w:val="697"/>
        </w:trPr>
        <w:tc>
          <w:tcPr>
            <w:tcW w:type="dxa" w:w="964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Муниципальные программы со средней эффективностью реализации </w:t>
            </w:r>
            <w:r>
              <w:rPr>
                <w:rFonts w:ascii="Times New Roman" w:hAnsi="Times New Roman"/>
                <w:b w:val="1"/>
                <w:sz w:val="24"/>
              </w:rPr>
              <w:br/>
            </w:r>
            <w:r>
              <w:rPr>
                <w:rFonts w:ascii="Times New Roman" w:hAnsi="Times New Roman"/>
                <w:b w:val="1"/>
                <w:sz w:val="24"/>
              </w:rPr>
              <w:t>(значение не менее 0,80)</w:t>
            </w:r>
          </w:p>
        </w:tc>
      </w:tr>
      <w:tr>
        <w:trPr>
          <w:trHeight w:hRule="atLeast" w:val="952"/>
        </w:trPr>
        <w:tc>
          <w:tcPr>
            <w:tcW w:type="dxa" w:w="6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«Развитие городского пассажирского транспорта в городе Магнитогорске» на 2022-2027 годы</w:t>
            </w:r>
          </w:p>
        </w:tc>
        <w:tc>
          <w:tcPr>
            <w:tcW w:type="dxa" w:w="32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транспорта и коммунального хозяйства администрации города </w:t>
            </w:r>
          </w:p>
        </w:tc>
        <w:tc>
          <w:tcPr>
            <w:tcW w:type="dxa" w:w="186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0,89</w:t>
            </w:r>
          </w:p>
        </w:tc>
      </w:tr>
      <w:tr>
        <w:trPr>
          <w:trHeight w:hRule="atLeast" w:val="548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Средняя эффективность программ</w:t>
            </w:r>
          </w:p>
        </w:tc>
        <w:tc>
          <w:tcPr>
            <w:tcW w:type="dxa" w:w="1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0,99</w:t>
            </w:r>
          </w:p>
        </w:tc>
      </w:tr>
    </w:tbl>
    <w:p w14:paraId="09010000">
      <w:pPr>
        <w:spacing w:after="0" w:line="240" w:lineRule="auto"/>
        <w:ind/>
        <w:jc w:val="center"/>
        <w:rPr>
          <w:rFonts w:ascii="Times New Roman" w:hAnsi="Times New Roman"/>
          <w:sz w:val="26"/>
        </w:rPr>
      </w:pPr>
    </w:p>
    <w:p w14:paraId="0A010000">
      <w:pPr>
        <w:spacing w:after="113" w:line="240" w:lineRule="auto"/>
        <w:ind/>
        <w:jc w:val="both"/>
        <w:rPr>
          <w:rFonts w:ascii="Times New Roman" w:hAnsi="Times New Roman"/>
          <w:sz w:val="26"/>
        </w:rPr>
      </w:pPr>
    </w:p>
    <w:p w14:paraId="0B010000">
      <w:pPr>
        <w:spacing w:after="113" w:line="240" w:lineRule="auto"/>
        <w:ind/>
        <w:jc w:val="both"/>
        <w:rPr>
          <w:rFonts w:ascii="Times New Roman" w:hAnsi="Times New Roman"/>
          <w:sz w:val="26"/>
        </w:rPr>
      </w:pPr>
    </w:p>
    <w:p w14:paraId="0C010000">
      <w:pPr>
        <w:spacing w:after="113" w:line="240" w:lineRule="auto"/>
        <w:ind/>
        <w:jc w:val="both"/>
        <w:rPr>
          <w:rFonts w:ascii="Times New Roman" w:hAnsi="Times New Roman"/>
          <w:sz w:val="26"/>
        </w:rPr>
      </w:pPr>
    </w:p>
    <w:sectPr>
      <w:headerReference r:id="rId1" w:type="default"/>
      <w:footerReference r:id="rId2" w:type="default"/>
      <w:pgSz w:h="16848" w:orient="portrait" w:w="11908"/>
      <w:pgMar w:bottom="850" w:footer="709" w:gutter="0" w:header="709" w:left="1417" w:right="850" w:top="85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spacing w:after="0" w:line="240" w:lineRule="auto"/>
      <w:ind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russianLower"/>
      <w:lvlText w:val="%2)"/>
      <w:lvlJc w:val="left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lvlJc w:val="left"/>
      <w:pPr>
        <w:ind w:hanging="360" w:left="2880"/>
      </w:pPr>
    </w:lvl>
    <w:lvl w:ilvl="4">
      <w:start w:val="1"/>
      <w:numFmt w:val="russianLower"/>
      <w:lvlText w:val="%5)"/>
      <w:lvlJc w:val="left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russianLow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xl83"/>
    <w:basedOn w:val="Style_4"/>
    <w:link w:val="Style_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5_ch" w:type="character">
    <w:name w:val="xl83"/>
    <w:basedOn w:val="Style_4_ch"/>
    <w:link w:val="Style_5"/>
    <w:rPr>
      <w:rFonts w:ascii="Times New Roman" w:hAnsi="Times New Roman"/>
      <w:sz w:val="24"/>
    </w:rPr>
  </w:style>
  <w:style w:styleId="Style_6" w:type="paragraph">
    <w:name w:val="toc 2"/>
    <w:next w:val="Style_4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Основной текст (2)"/>
    <w:link w:val="Style_7_ch"/>
    <w:pPr>
      <w:spacing w:after="0" w:line="317" w:lineRule="exact"/>
      <w:ind/>
      <w:jc w:val="center"/>
    </w:pPr>
    <w:rPr>
      <w:rFonts w:ascii="Times New Roman" w:hAnsi="Times New Roman"/>
      <w:sz w:val="28"/>
    </w:rPr>
  </w:style>
  <w:style w:styleId="Style_7_ch" w:type="character">
    <w:name w:val="Основной текст (2)"/>
    <w:link w:val="Style_7"/>
    <w:rPr>
      <w:rFonts w:ascii="Times New Roman" w:hAnsi="Times New Roman"/>
      <w:sz w:val="28"/>
    </w:rPr>
  </w:style>
  <w:style w:styleId="Style_8" w:type="paragraph">
    <w:name w:val="Без интервала;No Spacing"/>
    <w:link w:val="Style_8_ch"/>
    <w:pPr>
      <w:spacing w:after="0" w:line="240" w:lineRule="auto"/>
      <w:ind/>
    </w:pPr>
    <w:rPr>
      <w:rFonts w:ascii="Calibri" w:hAnsi="Calibri"/>
    </w:rPr>
  </w:style>
  <w:style w:styleId="Style_8_ch" w:type="character">
    <w:name w:val="Без интервала;No Spacing"/>
    <w:link w:val="Style_8"/>
    <w:rPr>
      <w:rFonts w:ascii="Calibri" w:hAnsi="Calibri"/>
    </w:rPr>
  </w:style>
  <w:style w:styleId="Style_9" w:type="paragraph">
    <w:name w:val="xl91"/>
    <w:basedOn w:val="Style_4"/>
    <w:link w:val="Style_9_ch"/>
    <w:pPr>
      <w:spacing w:afterAutospacing="on" w:beforeAutospacing="on" w:line="240" w:lineRule="auto"/>
      <w:ind/>
    </w:pPr>
    <w:rPr>
      <w:rFonts w:ascii="Times New Roman" w:hAnsi="Times New Roman"/>
      <w:sz w:val="18"/>
    </w:rPr>
  </w:style>
  <w:style w:styleId="Style_9_ch" w:type="character">
    <w:name w:val="xl91"/>
    <w:basedOn w:val="Style_4_ch"/>
    <w:link w:val="Style_9"/>
    <w:rPr>
      <w:rFonts w:ascii="Times New Roman" w:hAnsi="Times New Roman"/>
      <w:sz w:val="18"/>
    </w:rPr>
  </w:style>
  <w:style w:styleId="Style_10" w:type="paragraph">
    <w:name w:val="toc 4"/>
    <w:next w:val="Style_4"/>
    <w:link w:val="Style_10_ch"/>
    <w:uiPriority w:val="39"/>
    <w:pPr>
      <w:ind w:firstLine="0"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Знак Знак Знак Знак"/>
    <w:link w:val="Style_11_ch"/>
    <w:pPr>
      <w:spacing w:line="240" w:lineRule="exact"/>
      <w:ind/>
    </w:pPr>
    <w:rPr>
      <w:rFonts w:ascii="Tahoma" w:hAnsi="Tahoma"/>
      <w:sz w:val="18"/>
    </w:rPr>
  </w:style>
  <w:style w:styleId="Style_11_ch" w:type="character">
    <w:name w:val="Знак Знак Знак Знак"/>
    <w:link w:val="Style_11"/>
    <w:rPr>
      <w:rFonts w:ascii="Tahoma" w:hAnsi="Tahoma"/>
      <w:sz w:val="18"/>
    </w:rPr>
  </w:style>
  <w:style w:styleId="Style_12" w:type="paragraph">
    <w:name w:val="Обычный1"/>
    <w:link w:val="Style_12_ch"/>
  </w:style>
  <w:style w:styleId="Style_12_ch" w:type="character">
    <w:name w:val="Обычный1"/>
    <w:link w:val="Style_12"/>
  </w:style>
  <w:style w:styleId="Style_13" w:type="paragraph">
    <w:name w:val="toc 6"/>
    <w:next w:val="Style_4"/>
    <w:link w:val="Style_13_ch"/>
    <w:uiPriority w:val="39"/>
    <w:pPr>
      <w:ind w:firstLine="0" w:left="1000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4"/>
    <w:link w:val="Style_14_ch"/>
    <w:uiPriority w:val="39"/>
    <w:pPr>
      <w:ind w:firstLine="0" w:left="1200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ConsNonformat"/>
    <w:link w:val="Style_15_ch"/>
    <w:pPr>
      <w:spacing w:after="0" w:line="240" w:lineRule="auto"/>
      <w:ind w:right="19772"/>
    </w:pPr>
    <w:rPr>
      <w:rFonts w:ascii="Courier New" w:hAnsi="Courier New"/>
      <w:sz w:val="20"/>
    </w:rPr>
  </w:style>
  <w:style w:styleId="Style_15_ch" w:type="character">
    <w:name w:val="ConsNonformat"/>
    <w:link w:val="Style_15"/>
    <w:rPr>
      <w:rFonts w:ascii="Courier New" w:hAnsi="Courier New"/>
      <w:sz w:val="20"/>
    </w:rPr>
  </w:style>
  <w:style w:styleId="Style_16" w:type="paragraph">
    <w:name w:val="Car Char Car Char Car Char Car Char Car Char Знак Знак Знак Char Знак Знак Char1"/>
    <w:link w:val="Style_16_ch"/>
    <w:pPr>
      <w:spacing w:line="240" w:lineRule="exact"/>
      <w:ind/>
    </w:pPr>
    <w:rPr>
      <w:rFonts w:ascii="Arial" w:hAnsi="Arial"/>
      <w:sz w:val="20"/>
    </w:rPr>
  </w:style>
  <w:style w:styleId="Style_16_ch" w:type="character">
    <w:name w:val="Car Char Car Char Car Char Car Char Car Char Знак Знак Знак Char Знак Знак Char1"/>
    <w:link w:val="Style_16"/>
    <w:rPr>
      <w:rFonts w:ascii="Arial" w:hAnsi="Arial"/>
      <w:sz w:val="20"/>
    </w:rPr>
  </w:style>
  <w:style w:styleId="Style_17" w:type="paragraph">
    <w:name w:val="Normal (Web)"/>
    <w:basedOn w:val="Style_4"/>
    <w:link w:val="Style_1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7_ch" w:type="character">
    <w:name w:val="Normal (Web)"/>
    <w:basedOn w:val="Style_4_ch"/>
    <w:link w:val="Style_17"/>
    <w:rPr>
      <w:rFonts w:ascii="Times New Roman" w:hAnsi="Times New Roman"/>
      <w:sz w:val="24"/>
    </w:rPr>
  </w:style>
  <w:style w:styleId="Style_18" w:type="paragraph">
    <w:name w:val="Заголовок Знак"/>
    <w:basedOn w:val="Style_19"/>
    <w:link w:val="Style_18_ch"/>
    <w:rPr>
      <w:rFonts w:asciiTheme="majorAscii" w:hAnsiTheme="majorHAnsi"/>
      <w:spacing w:val="-10"/>
      <w:sz w:val="56"/>
    </w:rPr>
  </w:style>
  <w:style w:styleId="Style_18_ch" w:type="character">
    <w:name w:val="Заголовок Знак"/>
    <w:basedOn w:val="Style_19_ch"/>
    <w:link w:val="Style_18"/>
    <w:rPr>
      <w:rFonts w:asciiTheme="majorAscii" w:hAnsiTheme="majorHAnsi"/>
      <w:spacing w:val="-10"/>
      <w:sz w:val="56"/>
    </w:rPr>
  </w:style>
  <w:style w:styleId="Style_20" w:type="paragraph">
    <w:name w:val="xl88"/>
    <w:basedOn w:val="Style_4"/>
    <w:link w:val="Style_20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20_ch" w:type="character">
    <w:name w:val="xl88"/>
    <w:basedOn w:val="Style_4_ch"/>
    <w:link w:val="Style_20"/>
    <w:rPr>
      <w:rFonts w:ascii="Times New Roman" w:hAnsi="Times New Roman"/>
      <w:b w:val="1"/>
      <w:sz w:val="24"/>
    </w:rPr>
  </w:style>
  <w:style w:styleId="Style_21" w:type="paragraph">
    <w:name w:val="Основной текст + Курсив"/>
    <w:link w:val="Style_21_ch"/>
    <w:rPr>
      <w:rFonts w:ascii="Times New Roman" w:hAnsi="Times New Roman"/>
      <w:i w:val="1"/>
      <w:sz w:val="23"/>
      <w:highlight w:val="white"/>
    </w:rPr>
  </w:style>
  <w:style w:styleId="Style_21_ch" w:type="character">
    <w:name w:val="Основной текст + Курсив"/>
    <w:link w:val="Style_21"/>
    <w:rPr>
      <w:rFonts w:ascii="Times New Roman" w:hAnsi="Times New Roman"/>
      <w:i w:val="1"/>
      <w:sz w:val="23"/>
      <w:highlight w:val="white"/>
    </w:rPr>
  </w:style>
  <w:style w:styleId="Style_22" w:type="paragraph">
    <w:name w:val="xl78"/>
    <w:basedOn w:val="Style_4"/>
    <w:link w:val="Style_22_ch"/>
    <w:pPr>
      <w:spacing w:afterAutospacing="on" w:beforeAutospacing="on" w:line="240" w:lineRule="auto"/>
      <w:ind/>
      <w:jc w:val="center"/>
    </w:pPr>
    <w:rPr>
      <w:rFonts w:ascii="Times New Roman" w:hAnsi="Times New Roman"/>
      <w:i w:val="1"/>
      <w:sz w:val="24"/>
    </w:rPr>
  </w:style>
  <w:style w:styleId="Style_22_ch" w:type="character">
    <w:name w:val="xl78"/>
    <w:basedOn w:val="Style_4_ch"/>
    <w:link w:val="Style_22"/>
    <w:rPr>
      <w:rFonts w:ascii="Times New Roman" w:hAnsi="Times New Roman"/>
      <w:i w:val="1"/>
      <w:sz w:val="24"/>
    </w:rPr>
  </w:style>
  <w:style w:styleId="Style_23" w:type="paragraph">
    <w:name w:val="xl67"/>
    <w:basedOn w:val="Style_4"/>
    <w:link w:val="Style_2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3_ch" w:type="character">
    <w:name w:val="xl67"/>
    <w:basedOn w:val="Style_4_ch"/>
    <w:link w:val="Style_23"/>
    <w:rPr>
      <w:rFonts w:ascii="Times New Roman" w:hAnsi="Times New Roman"/>
      <w:sz w:val="24"/>
    </w:rPr>
  </w:style>
  <w:style w:styleId="Style_24" w:type="paragraph">
    <w:name w:val="xl99"/>
    <w:basedOn w:val="Style_4"/>
    <w:link w:val="Style_24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24_ch" w:type="character">
    <w:name w:val="xl99"/>
    <w:basedOn w:val="Style_4_ch"/>
    <w:link w:val="Style_24"/>
    <w:rPr>
      <w:rFonts w:ascii="Times New Roman" w:hAnsi="Times New Roman"/>
      <w:b w:val="1"/>
      <w:sz w:val="24"/>
    </w:rPr>
  </w:style>
  <w:style w:styleId="Style_25" w:type="paragraph">
    <w:name w:val="Endnote"/>
    <w:link w:val="Style_25_ch"/>
    <w:pPr>
      <w:ind w:firstLine="851" w:left="0"/>
      <w:jc w:val="both"/>
    </w:pPr>
    <w:rPr>
      <w:rFonts w:ascii="XO Thames" w:hAnsi="XO Thames"/>
    </w:rPr>
  </w:style>
  <w:style w:styleId="Style_25_ch" w:type="character">
    <w:name w:val="Endnote"/>
    <w:link w:val="Style_25"/>
    <w:rPr>
      <w:rFonts w:ascii="XO Thames" w:hAnsi="XO Thames"/>
    </w:rPr>
  </w:style>
  <w:style w:styleId="Style_26" w:type="paragraph">
    <w:name w:val="heading 3"/>
    <w:basedOn w:val="Style_4"/>
    <w:next w:val="Style_4"/>
    <w:link w:val="Style_26_ch"/>
    <w:uiPriority w:val="9"/>
    <w:qFormat/>
    <w:pPr>
      <w:keepNext w:val="1"/>
      <w:spacing w:after="60" w:before="240" w:line="240" w:lineRule="auto"/>
      <w:ind/>
      <w:outlineLvl w:val="2"/>
    </w:pPr>
    <w:rPr>
      <w:rFonts w:ascii="Cambria" w:hAnsi="Cambria"/>
      <w:b w:val="1"/>
      <w:sz w:val="26"/>
    </w:rPr>
  </w:style>
  <w:style w:styleId="Style_26_ch" w:type="character">
    <w:name w:val="heading 3"/>
    <w:basedOn w:val="Style_4_ch"/>
    <w:link w:val="Style_26"/>
    <w:rPr>
      <w:rFonts w:ascii="Cambria" w:hAnsi="Cambria"/>
      <w:b w:val="1"/>
      <w:sz w:val="26"/>
    </w:rPr>
  </w:style>
  <w:style w:styleId="Style_27" w:type="paragraph">
    <w:name w:val="ConsPlusCell"/>
    <w:link w:val="Style_27_ch"/>
    <w:pPr>
      <w:spacing w:after="0" w:line="240" w:lineRule="auto"/>
      <w:ind/>
    </w:pPr>
    <w:rPr>
      <w:rFonts w:ascii="Arial" w:hAnsi="Arial"/>
      <w:sz w:val="20"/>
    </w:rPr>
  </w:style>
  <w:style w:styleId="Style_27_ch" w:type="character">
    <w:name w:val="ConsPlusCell"/>
    <w:link w:val="Style_27"/>
    <w:rPr>
      <w:rFonts w:ascii="Arial" w:hAnsi="Arial"/>
      <w:sz w:val="20"/>
    </w:rPr>
  </w:style>
  <w:style w:styleId="Style_28" w:type="paragraph">
    <w:name w:val="xl86"/>
    <w:basedOn w:val="Style_4"/>
    <w:link w:val="Style_2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8_ch" w:type="character">
    <w:name w:val="xl86"/>
    <w:basedOn w:val="Style_4_ch"/>
    <w:link w:val="Style_28"/>
    <w:rPr>
      <w:rFonts w:ascii="Times New Roman" w:hAnsi="Times New Roman"/>
      <w:sz w:val="24"/>
    </w:rPr>
  </w:style>
  <w:style w:styleId="Style_29" w:type="paragraph">
    <w:name w:val="msonormal"/>
    <w:basedOn w:val="Style_4"/>
    <w:link w:val="Style_2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9_ch" w:type="character">
    <w:name w:val="msonormal"/>
    <w:basedOn w:val="Style_4_ch"/>
    <w:link w:val="Style_29"/>
    <w:rPr>
      <w:rFonts w:ascii="Times New Roman" w:hAnsi="Times New Roman"/>
      <w:sz w:val="24"/>
    </w:rPr>
  </w:style>
  <w:style w:styleId="Style_30" w:type="paragraph">
    <w:name w:val="Сильное выделение1"/>
    <w:link w:val="Style_30_ch"/>
    <w:rPr>
      <w:b w:val="1"/>
      <w:i w:val="1"/>
      <w:color w:val="4F81BD"/>
    </w:rPr>
  </w:style>
  <w:style w:styleId="Style_30_ch" w:type="character">
    <w:name w:val="Сильное выделение1"/>
    <w:link w:val="Style_30"/>
    <w:rPr>
      <w:b w:val="1"/>
      <w:i w:val="1"/>
      <w:color w:val="4F81BD"/>
    </w:rPr>
  </w:style>
  <w:style w:styleId="Style_31" w:type="paragraph">
    <w:name w:val="xl84"/>
    <w:basedOn w:val="Style_4"/>
    <w:link w:val="Style_31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1_ch" w:type="character">
    <w:name w:val="xl84"/>
    <w:basedOn w:val="Style_4_ch"/>
    <w:link w:val="Style_31"/>
    <w:rPr>
      <w:rFonts w:ascii="Times New Roman" w:hAnsi="Times New Roman"/>
      <w:sz w:val="24"/>
    </w:rPr>
  </w:style>
  <w:style w:styleId="Style_32" w:type="paragraph">
    <w:name w:val="xl92"/>
    <w:basedOn w:val="Style_4"/>
    <w:link w:val="Style_3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2_ch" w:type="character">
    <w:name w:val="xl92"/>
    <w:basedOn w:val="Style_4_ch"/>
    <w:link w:val="Style_32"/>
    <w:rPr>
      <w:rFonts w:ascii="Times New Roman" w:hAnsi="Times New Roman"/>
      <w:sz w:val="24"/>
    </w:rPr>
  </w:style>
  <w:style w:styleId="Style_33" w:type="paragraph">
    <w:name w:val="Строгий1"/>
    <w:link w:val="Style_33_ch"/>
    <w:rPr>
      <w:b w:val="1"/>
    </w:rPr>
  </w:style>
  <w:style w:styleId="Style_33_ch" w:type="character">
    <w:name w:val="Строгий1"/>
    <w:link w:val="Style_33"/>
    <w:rPr>
      <w:b w:val="1"/>
    </w:rPr>
  </w:style>
  <w:style w:styleId="Style_34" w:type="paragraph">
    <w:name w:val="Стандарт"/>
    <w:link w:val="Style_34_ch"/>
    <w:pPr>
      <w:spacing w:after="0" w:line="240" w:lineRule="auto"/>
      <w:ind w:firstLine="567" w:left="0"/>
      <w:jc w:val="both"/>
    </w:pPr>
    <w:rPr>
      <w:rFonts w:ascii="Times New Roman" w:hAnsi="Times New Roman"/>
      <w:sz w:val="24"/>
    </w:rPr>
  </w:style>
  <w:style w:styleId="Style_34_ch" w:type="character">
    <w:name w:val="Стандарт"/>
    <w:link w:val="Style_34"/>
    <w:rPr>
      <w:rFonts w:ascii="Times New Roman" w:hAnsi="Times New Roman"/>
      <w:sz w:val="24"/>
    </w:rPr>
  </w:style>
  <w:style w:styleId="Style_35" w:type="paragraph">
    <w:name w:val="Основной текст7"/>
    <w:link w:val="Style_35_ch"/>
    <w:pPr>
      <w:spacing w:after="0" w:before="240" w:line="298" w:lineRule="exact"/>
      <w:ind w:hanging="1160" w:left="1160"/>
      <w:jc w:val="both"/>
    </w:pPr>
    <w:rPr>
      <w:rFonts w:ascii="Times New Roman" w:hAnsi="Times New Roman"/>
      <w:sz w:val="20"/>
    </w:rPr>
  </w:style>
  <w:style w:styleId="Style_35_ch" w:type="character">
    <w:name w:val="Основной текст7"/>
    <w:link w:val="Style_35"/>
    <w:rPr>
      <w:rFonts w:ascii="Times New Roman" w:hAnsi="Times New Roman"/>
      <w:sz w:val="20"/>
    </w:rPr>
  </w:style>
  <w:style w:styleId="Style_36" w:type="paragraph">
    <w:name w:val="Основной текст1"/>
    <w:basedOn w:val="Style_4"/>
    <w:link w:val="Style_36_ch"/>
    <w:pPr>
      <w:spacing w:after="0" w:before="240" w:line="317" w:lineRule="exact"/>
      <w:ind w:hanging="1060" w:left="1060"/>
      <w:jc w:val="both"/>
    </w:pPr>
    <w:rPr>
      <w:sz w:val="25"/>
    </w:rPr>
  </w:style>
  <w:style w:styleId="Style_36_ch" w:type="character">
    <w:name w:val="Основной текст1"/>
    <w:basedOn w:val="Style_4_ch"/>
    <w:link w:val="Style_36"/>
    <w:rPr>
      <w:sz w:val="25"/>
    </w:rPr>
  </w:style>
  <w:style w:styleId="Style_37" w:type="paragraph">
    <w:name w:val="Char Char"/>
    <w:link w:val="Style_37_ch"/>
    <w:pPr>
      <w:spacing w:line="240" w:lineRule="exact"/>
      <w:ind/>
    </w:pPr>
    <w:rPr>
      <w:rFonts w:ascii="Verdana" w:hAnsi="Verdana"/>
      <w:sz w:val="20"/>
    </w:rPr>
  </w:style>
  <w:style w:styleId="Style_37_ch" w:type="character">
    <w:name w:val="Char Char"/>
    <w:link w:val="Style_37"/>
    <w:rPr>
      <w:rFonts w:ascii="Verdana" w:hAnsi="Verdana"/>
      <w:sz w:val="20"/>
    </w:rPr>
  </w:style>
  <w:style w:styleId="Style_38" w:type="paragraph">
    <w:name w:val="Цветовое выделение"/>
    <w:link w:val="Style_38_ch"/>
    <w:rPr>
      <w:b w:val="1"/>
      <w:color w:val="26282F"/>
    </w:rPr>
  </w:style>
  <w:style w:styleId="Style_38_ch" w:type="character">
    <w:name w:val="Цветовое выделение"/>
    <w:link w:val="Style_38"/>
    <w:rPr>
      <w:b w:val="1"/>
      <w:color w:val="26282F"/>
    </w:rPr>
  </w:style>
  <w:style w:styleId="Style_39" w:type="paragraph">
    <w:name w:val="xl101"/>
    <w:basedOn w:val="Style_4"/>
    <w:link w:val="Style_3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9_ch" w:type="character">
    <w:name w:val="xl101"/>
    <w:basedOn w:val="Style_4_ch"/>
    <w:link w:val="Style_39"/>
    <w:rPr>
      <w:rFonts w:ascii="Times New Roman" w:hAnsi="Times New Roman"/>
      <w:sz w:val="24"/>
    </w:rPr>
  </w:style>
  <w:style w:styleId="Style_40" w:type="paragraph">
    <w:name w:val="xl95"/>
    <w:basedOn w:val="Style_4"/>
    <w:link w:val="Style_4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0_ch" w:type="character">
    <w:name w:val="xl95"/>
    <w:basedOn w:val="Style_4_ch"/>
    <w:link w:val="Style_40"/>
    <w:rPr>
      <w:rFonts w:ascii="Times New Roman" w:hAnsi="Times New Roman"/>
      <w:sz w:val="24"/>
    </w:rPr>
  </w:style>
  <w:style w:styleId="Style_41" w:type="paragraph">
    <w:name w:val="xl73"/>
    <w:basedOn w:val="Style_4"/>
    <w:link w:val="Style_4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1_ch" w:type="character">
    <w:name w:val="xl73"/>
    <w:basedOn w:val="Style_4_ch"/>
    <w:link w:val="Style_41"/>
    <w:rPr>
      <w:rFonts w:ascii="Times New Roman" w:hAnsi="Times New Roman"/>
      <w:sz w:val="24"/>
    </w:rPr>
  </w:style>
  <w:style w:styleId="Style_42" w:type="paragraph">
    <w:name w:val="xl85"/>
    <w:basedOn w:val="Style_4"/>
    <w:link w:val="Style_4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2_ch" w:type="character">
    <w:name w:val="xl85"/>
    <w:basedOn w:val="Style_4_ch"/>
    <w:link w:val="Style_42"/>
    <w:rPr>
      <w:rFonts w:ascii="Times New Roman" w:hAnsi="Times New Roman"/>
      <w:sz w:val="24"/>
    </w:rPr>
  </w:style>
  <w:style w:styleId="Style_43" w:type="paragraph">
    <w:name w:val="Body Text Indent 2"/>
    <w:link w:val="Style_43_ch"/>
    <w:pPr>
      <w:spacing w:after="120" w:line="480" w:lineRule="auto"/>
      <w:ind w:firstLine="0" w:left="283"/>
    </w:pPr>
    <w:rPr>
      <w:rFonts w:ascii="Times New Roman" w:hAnsi="Times New Roman"/>
      <w:sz w:val="24"/>
    </w:rPr>
  </w:style>
  <w:style w:styleId="Style_43_ch" w:type="character">
    <w:name w:val="Body Text Indent 2"/>
    <w:link w:val="Style_43"/>
    <w:rPr>
      <w:rFonts w:ascii="Times New Roman" w:hAnsi="Times New Roman"/>
      <w:sz w:val="24"/>
    </w:rPr>
  </w:style>
  <w:style w:styleId="Style_44" w:type="paragraph">
    <w:name w:val="xl96"/>
    <w:basedOn w:val="Style_4"/>
    <w:link w:val="Style_44_ch"/>
    <w:pPr>
      <w:spacing w:afterAutospacing="on" w:beforeAutospacing="on" w:line="240" w:lineRule="auto"/>
      <w:ind/>
    </w:pPr>
    <w:rPr>
      <w:rFonts w:ascii="Times New Roman" w:hAnsi="Times New Roman"/>
      <w:i w:val="1"/>
      <w:sz w:val="24"/>
    </w:rPr>
  </w:style>
  <w:style w:styleId="Style_44_ch" w:type="character">
    <w:name w:val="xl96"/>
    <w:basedOn w:val="Style_4_ch"/>
    <w:link w:val="Style_44"/>
    <w:rPr>
      <w:rFonts w:ascii="Times New Roman" w:hAnsi="Times New Roman"/>
      <w:i w:val="1"/>
      <w:sz w:val="24"/>
    </w:rPr>
  </w:style>
  <w:style w:styleId="Style_45" w:type="paragraph">
    <w:name w:val="xl75"/>
    <w:basedOn w:val="Style_4"/>
    <w:link w:val="Style_45_ch"/>
    <w:pPr>
      <w:spacing w:afterAutospacing="on" w:beforeAutospacing="on" w:line="240" w:lineRule="auto"/>
      <w:ind/>
      <w:jc w:val="center"/>
    </w:pPr>
    <w:rPr>
      <w:rFonts w:ascii="Times New Roman" w:hAnsi="Times New Roman"/>
      <w:i w:val="1"/>
      <w:sz w:val="24"/>
    </w:rPr>
  </w:style>
  <w:style w:styleId="Style_45_ch" w:type="character">
    <w:name w:val="xl75"/>
    <w:basedOn w:val="Style_4_ch"/>
    <w:link w:val="Style_45"/>
    <w:rPr>
      <w:rFonts w:ascii="Times New Roman" w:hAnsi="Times New Roman"/>
      <w:i w:val="1"/>
      <w:sz w:val="24"/>
    </w:rPr>
  </w:style>
  <w:style w:styleId="Style_46" w:type="paragraph">
    <w:name w:val="Обычный1"/>
    <w:link w:val="Style_46_ch"/>
    <w:pPr>
      <w:spacing w:after="100" w:before="100" w:line="240" w:lineRule="auto"/>
      <w:ind/>
    </w:pPr>
    <w:rPr>
      <w:rFonts w:ascii="Times New Roman" w:hAnsi="Times New Roman"/>
      <w:sz w:val="24"/>
    </w:rPr>
  </w:style>
  <w:style w:styleId="Style_46_ch" w:type="character">
    <w:name w:val="Обычный1"/>
    <w:link w:val="Style_46"/>
    <w:rPr>
      <w:rFonts w:ascii="Times New Roman" w:hAnsi="Times New Roman"/>
      <w:sz w:val="24"/>
    </w:rPr>
  </w:style>
  <w:style w:styleId="Style_47" w:type="paragraph">
    <w:name w:val="xl93"/>
    <w:basedOn w:val="Style_4"/>
    <w:link w:val="Style_4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47_ch" w:type="character">
    <w:name w:val="xl93"/>
    <w:basedOn w:val="Style_4_ch"/>
    <w:link w:val="Style_47"/>
    <w:rPr>
      <w:rFonts w:ascii="Times New Roman" w:hAnsi="Times New Roman"/>
      <w:b w:val="1"/>
      <w:sz w:val="24"/>
    </w:rPr>
  </w:style>
  <w:style w:styleId="Style_48" w:type="paragraph">
    <w:name w:val="Основной текст (9)"/>
    <w:link w:val="Style_48_ch"/>
    <w:rPr>
      <w:rFonts w:ascii="Microsoft Sans Serif" w:hAnsi="Microsoft Sans Serif"/>
      <w:color w:val="FFFFFF"/>
      <w:spacing w:val="5"/>
      <w:sz w:val="15"/>
    </w:rPr>
  </w:style>
  <w:style w:styleId="Style_48_ch" w:type="character">
    <w:name w:val="Основной текст (9)"/>
    <w:link w:val="Style_48"/>
    <w:rPr>
      <w:rFonts w:ascii="Microsoft Sans Serif" w:hAnsi="Microsoft Sans Serif"/>
      <w:color w:val="FFFFFF"/>
      <w:spacing w:val="5"/>
      <w:sz w:val="15"/>
    </w:rPr>
  </w:style>
  <w:style w:styleId="Style_49" w:type="paragraph">
    <w:name w:val="xl94"/>
    <w:basedOn w:val="Style_4"/>
    <w:link w:val="Style_49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49_ch" w:type="character">
    <w:name w:val="xl94"/>
    <w:basedOn w:val="Style_4_ch"/>
    <w:link w:val="Style_49"/>
    <w:rPr>
      <w:rFonts w:ascii="Times New Roman" w:hAnsi="Times New Roman"/>
      <w:b w:val="1"/>
      <w:sz w:val="24"/>
    </w:rPr>
  </w:style>
  <w:style w:styleId="Style_50" w:type="paragraph">
    <w:name w:val="Body Text Indent 3"/>
    <w:link w:val="Style_50_ch"/>
    <w:pPr>
      <w:spacing w:after="120" w:line="240" w:lineRule="auto"/>
      <w:ind w:firstLine="0" w:left="283"/>
    </w:pPr>
    <w:rPr>
      <w:rFonts w:ascii="Times New Roman" w:hAnsi="Times New Roman"/>
      <w:sz w:val="16"/>
    </w:rPr>
  </w:style>
  <w:style w:styleId="Style_50_ch" w:type="character">
    <w:name w:val="Body Text Indent 3"/>
    <w:link w:val="Style_50"/>
    <w:rPr>
      <w:rFonts w:ascii="Times New Roman" w:hAnsi="Times New Roman"/>
      <w:sz w:val="16"/>
    </w:rPr>
  </w:style>
  <w:style w:styleId="Style_51" w:type="paragraph">
    <w:name w:val="List Paragraph"/>
    <w:basedOn w:val="Style_4"/>
    <w:link w:val="Style_51_ch"/>
    <w:pPr>
      <w:spacing w:after="200" w:line="276" w:lineRule="auto"/>
      <w:ind w:firstLine="0" w:left="720"/>
      <w:contextualSpacing w:val="1"/>
    </w:pPr>
  </w:style>
  <w:style w:styleId="Style_51_ch" w:type="character">
    <w:name w:val="List Paragraph"/>
    <w:basedOn w:val="Style_4_ch"/>
    <w:link w:val="Style_51"/>
  </w:style>
  <w:style w:styleId="Style_52" w:type="paragraph">
    <w:name w:val="Без интервала1"/>
    <w:link w:val="Style_52_ch"/>
    <w:pPr>
      <w:spacing w:after="0" w:line="240" w:lineRule="auto"/>
      <w:ind/>
    </w:pPr>
    <w:rPr>
      <w:rFonts w:ascii="Calibri" w:hAnsi="Calibri"/>
    </w:rPr>
  </w:style>
  <w:style w:styleId="Style_52_ch" w:type="character">
    <w:name w:val="Без интервала1"/>
    <w:link w:val="Style_52"/>
    <w:rPr>
      <w:rFonts w:ascii="Calibri" w:hAnsi="Calibri"/>
    </w:rPr>
  </w:style>
  <w:style w:styleId="Style_53" w:type="paragraph">
    <w:name w:val="newstext"/>
    <w:link w:val="Style_53_ch"/>
    <w:pPr>
      <w:spacing w:after="100" w:before="100" w:line="240" w:lineRule="auto"/>
      <w:ind w:firstLine="500" w:left="0"/>
    </w:pPr>
    <w:rPr>
      <w:rFonts w:ascii="Verdana" w:hAnsi="Verdana"/>
      <w:color w:val="330033"/>
      <w:sz w:val="24"/>
    </w:rPr>
  </w:style>
  <w:style w:styleId="Style_53_ch" w:type="character">
    <w:name w:val="newstext"/>
    <w:link w:val="Style_53"/>
    <w:rPr>
      <w:rFonts w:ascii="Verdana" w:hAnsi="Verdana"/>
      <w:color w:val="330033"/>
      <w:sz w:val="24"/>
    </w:rPr>
  </w:style>
  <w:style w:styleId="Style_54" w:type="paragraph">
    <w:name w:val="toc 3"/>
    <w:next w:val="Style_4"/>
    <w:link w:val="Style_54_ch"/>
    <w:uiPriority w:val="39"/>
    <w:pPr>
      <w:ind w:firstLine="0" w:left="400"/>
    </w:pPr>
    <w:rPr>
      <w:rFonts w:ascii="XO Thames" w:hAnsi="XO Thames"/>
      <w:sz w:val="28"/>
    </w:rPr>
  </w:style>
  <w:style w:styleId="Style_54_ch" w:type="character">
    <w:name w:val="toc 3"/>
    <w:link w:val="Style_54"/>
    <w:rPr>
      <w:rFonts w:ascii="XO Thames" w:hAnsi="XO Thames"/>
      <w:sz w:val="28"/>
    </w:rPr>
  </w:style>
  <w:style w:styleId="Style_55" w:type="paragraph">
    <w:name w:val="xl82"/>
    <w:basedOn w:val="Style_4"/>
    <w:link w:val="Style_55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55_ch" w:type="character">
    <w:name w:val="xl82"/>
    <w:basedOn w:val="Style_4_ch"/>
    <w:link w:val="Style_55"/>
    <w:rPr>
      <w:rFonts w:ascii="Times New Roman" w:hAnsi="Times New Roman"/>
      <w:sz w:val="24"/>
    </w:rPr>
  </w:style>
  <w:style w:styleId="Style_56" w:type="paragraph">
    <w:name w:val="ConsPlusTitle"/>
    <w:link w:val="Style_56_ch"/>
    <w:pPr>
      <w:spacing w:after="0" w:line="240" w:lineRule="auto"/>
      <w:ind/>
    </w:pPr>
    <w:rPr>
      <w:rFonts w:ascii="Times New Roman" w:hAnsi="Times New Roman"/>
      <w:b w:val="1"/>
      <w:sz w:val="24"/>
    </w:rPr>
  </w:style>
  <w:style w:styleId="Style_56_ch" w:type="character">
    <w:name w:val="ConsPlusTitle"/>
    <w:link w:val="Style_56"/>
    <w:rPr>
      <w:rFonts w:ascii="Times New Roman" w:hAnsi="Times New Roman"/>
      <w:b w:val="1"/>
      <w:sz w:val="24"/>
    </w:rPr>
  </w:style>
  <w:style w:styleId="Style_57" w:type="paragraph">
    <w:name w:val="stylet3"/>
    <w:basedOn w:val="Style_4"/>
    <w:link w:val="Style_5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7_ch" w:type="character">
    <w:name w:val="stylet3"/>
    <w:basedOn w:val="Style_4_ch"/>
    <w:link w:val="Style_57"/>
    <w:rPr>
      <w:rFonts w:ascii="Times New Roman" w:hAnsi="Times New Roman"/>
      <w:sz w:val="24"/>
    </w:rPr>
  </w:style>
  <w:style w:styleId="Style_58" w:type="paragraph">
    <w:name w:val="Знак Знак Знак Знак1"/>
    <w:link w:val="Style_58_ch"/>
    <w:pPr>
      <w:spacing w:line="240" w:lineRule="exact"/>
      <w:ind/>
      <w:jc w:val="right"/>
    </w:pPr>
    <w:rPr>
      <w:rFonts w:ascii="Times New Roman" w:hAnsi="Times New Roman"/>
      <w:sz w:val="20"/>
    </w:rPr>
  </w:style>
  <w:style w:styleId="Style_58_ch" w:type="character">
    <w:name w:val="Знак Знак Знак Знак1"/>
    <w:link w:val="Style_58"/>
    <w:rPr>
      <w:rFonts w:ascii="Times New Roman" w:hAnsi="Times New Roman"/>
      <w:sz w:val="20"/>
    </w:rPr>
  </w:style>
  <w:style w:styleId="Style_59" w:type="paragraph">
    <w:name w:val="Абзац списка1"/>
    <w:link w:val="Style_59_ch"/>
    <w:pPr>
      <w:spacing w:after="0" w:line="240" w:lineRule="auto"/>
      <w:ind w:firstLine="0" w:left="720"/>
    </w:pPr>
    <w:rPr>
      <w:rFonts w:ascii="Times New Roman" w:hAnsi="Times New Roman"/>
      <w:sz w:val="24"/>
    </w:rPr>
  </w:style>
  <w:style w:styleId="Style_59_ch" w:type="character">
    <w:name w:val="Абзац списка1"/>
    <w:link w:val="Style_59"/>
    <w:rPr>
      <w:rFonts w:ascii="Times New Roman" w:hAnsi="Times New Roman"/>
      <w:sz w:val="24"/>
    </w:rPr>
  </w:style>
  <w:style w:styleId="Style_60" w:type="paragraph">
    <w:name w:val="xl71"/>
    <w:basedOn w:val="Style_4"/>
    <w:link w:val="Style_6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60_ch" w:type="character">
    <w:name w:val="xl71"/>
    <w:basedOn w:val="Style_4_ch"/>
    <w:link w:val="Style_60"/>
    <w:rPr>
      <w:rFonts w:ascii="Times New Roman" w:hAnsi="Times New Roman"/>
      <w:sz w:val="24"/>
    </w:rPr>
  </w:style>
  <w:style w:styleId="Style_61" w:type="paragraph">
    <w:name w:val="Знак1"/>
    <w:link w:val="Style_61_ch"/>
    <w:pPr>
      <w:spacing w:after="100" w:before="100" w:line="240" w:lineRule="auto"/>
      <w:ind/>
    </w:pPr>
    <w:rPr>
      <w:rFonts w:ascii="Tahoma" w:hAnsi="Tahoma"/>
      <w:sz w:val="20"/>
    </w:rPr>
  </w:style>
  <w:style w:styleId="Style_61_ch" w:type="character">
    <w:name w:val="Знак1"/>
    <w:link w:val="Style_61"/>
    <w:rPr>
      <w:rFonts w:ascii="Tahoma" w:hAnsi="Tahoma"/>
      <w:sz w:val="20"/>
    </w:rPr>
  </w:style>
  <w:style w:styleId="Style_62" w:type="paragraph">
    <w:name w:val="Абзац списка11"/>
    <w:link w:val="Style_62_ch"/>
    <w:pPr>
      <w:spacing w:after="0" w:line="240" w:lineRule="auto"/>
      <w:ind w:firstLine="0" w:left="720"/>
    </w:pPr>
    <w:rPr>
      <w:rFonts w:ascii="Times New Roman" w:hAnsi="Times New Roman"/>
      <w:sz w:val="24"/>
    </w:rPr>
  </w:style>
  <w:style w:styleId="Style_62_ch" w:type="character">
    <w:name w:val="Абзац списка11"/>
    <w:link w:val="Style_62"/>
    <w:rPr>
      <w:rFonts w:ascii="Times New Roman" w:hAnsi="Times New Roman"/>
      <w:sz w:val="24"/>
    </w:rPr>
  </w:style>
  <w:style w:styleId="Style_63" w:type="paragraph">
    <w:name w:val="formattext"/>
    <w:basedOn w:val="Style_4"/>
    <w:link w:val="Style_6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3_ch" w:type="character">
    <w:name w:val="formattext"/>
    <w:basedOn w:val="Style_4_ch"/>
    <w:link w:val="Style_63"/>
    <w:rPr>
      <w:rFonts w:ascii="Times New Roman" w:hAnsi="Times New Roman"/>
      <w:sz w:val="24"/>
    </w:rPr>
  </w:style>
  <w:style w:styleId="Style_64" w:type="paragraph">
    <w:name w:val="Колонтитул + 9;5 pt"/>
    <w:link w:val="Style_64_ch"/>
    <w:rPr>
      <w:rFonts w:ascii="Times New Roman" w:hAnsi="Times New Roman"/>
      <w:sz w:val="19"/>
    </w:rPr>
  </w:style>
  <w:style w:styleId="Style_64_ch" w:type="character">
    <w:name w:val="Колонтитул + 9;5 pt"/>
    <w:link w:val="Style_64"/>
    <w:rPr>
      <w:rFonts w:ascii="Times New Roman" w:hAnsi="Times New Roman"/>
      <w:sz w:val="19"/>
    </w:rPr>
  </w:style>
  <w:style w:styleId="Style_65" w:type="paragraph">
    <w:name w:val="No Spacing"/>
    <w:link w:val="Style_65_ch"/>
    <w:pPr>
      <w:spacing w:after="0" w:line="240" w:lineRule="auto"/>
      <w:ind/>
    </w:pPr>
  </w:style>
  <w:style w:styleId="Style_65_ch" w:type="character">
    <w:name w:val="No Spacing"/>
    <w:link w:val="Style_65"/>
  </w:style>
  <w:style w:styleId="Style_66" w:type="paragraph">
    <w:name w:val="heading 5"/>
    <w:link w:val="Style_66_ch"/>
    <w:uiPriority w:val="9"/>
    <w:qFormat/>
    <w:pPr>
      <w:spacing w:after="0" w:before="120"/>
      <w:ind w:firstLine="709" w:left="360"/>
      <w:jc w:val="both"/>
      <w:outlineLvl w:val="4"/>
    </w:pPr>
    <w:rPr>
      <w:rFonts w:ascii="Times New Roman" w:hAnsi="Times New Roman"/>
      <w:b w:val="1"/>
      <w:i w:val="1"/>
      <w:sz w:val="48"/>
    </w:rPr>
  </w:style>
  <w:style w:styleId="Style_66_ch" w:type="character">
    <w:name w:val="heading 5"/>
    <w:link w:val="Style_66"/>
    <w:rPr>
      <w:rFonts w:ascii="Times New Roman" w:hAnsi="Times New Roman"/>
      <w:b w:val="1"/>
      <w:i w:val="1"/>
      <w:sz w:val="48"/>
    </w:rPr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67" w:type="paragraph">
    <w:name w:val="nospacing"/>
    <w:basedOn w:val="Style_4"/>
    <w:link w:val="Style_6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7_ch" w:type="character">
    <w:name w:val="nospacing"/>
    <w:basedOn w:val="Style_4_ch"/>
    <w:link w:val="Style_67"/>
    <w:rPr>
      <w:rFonts w:ascii="Times New Roman" w:hAnsi="Times New Roman"/>
      <w:sz w:val="24"/>
    </w:rPr>
  </w:style>
  <w:style w:styleId="Style_68" w:type="paragraph">
    <w:name w:val="ConsPlusDocList"/>
    <w:link w:val="Style_68_ch"/>
    <w:pPr>
      <w:spacing w:after="0" w:line="240" w:lineRule="auto"/>
      <w:ind/>
    </w:pPr>
    <w:rPr>
      <w:rFonts w:ascii="Courier New" w:hAnsi="Courier New"/>
      <w:sz w:val="20"/>
    </w:rPr>
  </w:style>
  <w:style w:styleId="Style_68_ch" w:type="character">
    <w:name w:val="ConsPlusDocList"/>
    <w:link w:val="Style_68"/>
    <w:rPr>
      <w:rFonts w:ascii="Courier New" w:hAnsi="Courier New"/>
      <w:sz w:val="20"/>
    </w:rPr>
  </w:style>
  <w:style w:styleId="Style_69" w:type="paragraph">
    <w:name w:val="heading 1"/>
    <w:basedOn w:val="Style_4"/>
    <w:next w:val="Style_4"/>
    <w:link w:val="Style_69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69_ch" w:type="character">
    <w:name w:val="heading 1"/>
    <w:basedOn w:val="Style_4_ch"/>
    <w:link w:val="Style_69"/>
    <w:rPr>
      <w:rFonts w:ascii="Arial" w:hAnsi="Arial"/>
      <w:b w:val="1"/>
      <w:color w:val="26282F"/>
      <w:sz w:val="24"/>
    </w:rPr>
  </w:style>
  <w:style w:styleId="Style_70" w:type="paragraph">
    <w:name w:val="val"/>
    <w:basedOn w:val="Style_19"/>
    <w:link w:val="Style_70_ch"/>
  </w:style>
  <w:style w:styleId="Style_70_ch" w:type="character">
    <w:name w:val="val"/>
    <w:basedOn w:val="Style_19_ch"/>
    <w:link w:val="Style_70"/>
  </w:style>
  <w:style w:styleId="Style_71" w:type="paragraph">
    <w:name w:val="Знак Знак Знак Знак"/>
    <w:basedOn w:val="Style_4"/>
    <w:link w:val="Style_71_ch"/>
    <w:pPr>
      <w:spacing w:line="240" w:lineRule="exact"/>
      <w:ind/>
    </w:pPr>
    <w:rPr>
      <w:rFonts w:ascii="Tahoma" w:hAnsi="Tahoma"/>
      <w:sz w:val="18"/>
    </w:rPr>
  </w:style>
  <w:style w:styleId="Style_71_ch" w:type="character">
    <w:name w:val="Знак Знак Знак Знак"/>
    <w:basedOn w:val="Style_4_ch"/>
    <w:link w:val="Style_71"/>
    <w:rPr>
      <w:rFonts w:ascii="Tahoma" w:hAnsi="Tahoma"/>
      <w:sz w:val="18"/>
    </w:rPr>
  </w:style>
  <w:style w:styleId="Style_72" w:type="paragraph">
    <w:name w:val="xl80"/>
    <w:basedOn w:val="Style_4"/>
    <w:link w:val="Style_72_ch"/>
    <w:pPr>
      <w:spacing w:afterAutospacing="on" w:beforeAutospacing="on" w:line="240" w:lineRule="auto"/>
      <w:ind/>
      <w:jc w:val="center"/>
    </w:pPr>
    <w:rPr>
      <w:rFonts w:ascii="Times New Roman" w:hAnsi="Times New Roman"/>
      <w:i w:val="1"/>
      <w:sz w:val="24"/>
    </w:rPr>
  </w:style>
  <w:style w:styleId="Style_72_ch" w:type="character">
    <w:name w:val="xl80"/>
    <w:basedOn w:val="Style_4_ch"/>
    <w:link w:val="Style_72"/>
    <w:rPr>
      <w:rFonts w:ascii="Times New Roman" w:hAnsi="Times New Roman"/>
      <w:i w:val="1"/>
      <w:sz w:val="24"/>
    </w:rPr>
  </w:style>
  <w:style w:styleId="Style_73" w:type="paragraph">
    <w:name w:val="Основной текст (2)1"/>
    <w:link w:val="Style_73_ch"/>
    <w:pPr>
      <w:spacing w:after="0" w:before="600" w:line="322" w:lineRule="exact"/>
      <w:ind/>
      <w:jc w:val="both"/>
    </w:pPr>
    <w:rPr>
      <w:rFonts w:ascii="Times New Roman" w:hAnsi="Times New Roman"/>
      <w:sz w:val="28"/>
    </w:rPr>
  </w:style>
  <w:style w:styleId="Style_73_ch" w:type="character">
    <w:name w:val="Основной текст (2)1"/>
    <w:link w:val="Style_73"/>
    <w:rPr>
      <w:rFonts w:ascii="Times New Roman" w:hAnsi="Times New Roman"/>
      <w:sz w:val="28"/>
    </w:rPr>
  </w:style>
  <w:style w:styleId="Style_74" w:type="paragraph">
    <w:name w:val="xl69"/>
    <w:basedOn w:val="Style_4"/>
    <w:link w:val="Style_7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74_ch" w:type="character">
    <w:name w:val="xl69"/>
    <w:basedOn w:val="Style_4_ch"/>
    <w:link w:val="Style_74"/>
    <w:rPr>
      <w:rFonts w:ascii="Times New Roman" w:hAnsi="Times New Roman"/>
      <w:sz w:val="24"/>
    </w:rPr>
  </w:style>
  <w:style w:styleId="Style_75" w:type="paragraph">
    <w:name w:val="Цитата1"/>
    <w:link w:val="Style_75_ch"/>
    <w:pPr>
      <w:spacing w:after="0" w:line="360" w:lineRule="auto"/>
      <w:ind w:firstLine="567" w:left="-567" w:right="-766"/>
      <w:jc w:val="both"/>
    </w:pPr>
    <w:rPr>
      <w:rFonts w:ascii="Times New Roman" w:hAnsi="Times New Roman"/>
      <w:sz w:val="24"/>
    </w:rPr>
  </w:style>
  <w:style w:styleId="Style_75_ch" w:type="character">
    <w:name w:val="Цитата1"/>
    <w:link w:val="Style_75"/>
    <w:rPr>
      <w:rFonts w:ascii="Times New Roman" w:hAnsi="Times New Roman"/>
      <w:sz w:val="24"/>
    </w:rPr>
  </w:style>
  <w:style w:styleId="Style_76" w:type="paragraph">
    <w:name w:val="Default"/>
    <w:link w:val="Style_76_ch"/>
    <w:pPr>
      <w:spacing w:after="0" w:line="240" w:lineRule="auto"/>
      <w:ind/>
    </w:pPr>
    <w:rPr>
      <w:rFonts w:ascii="Times New Roman" w:hAnsi="Times New Roman"/>
      <w:sz w:val="24"/>
    </w:rPr>
  </w:style>
  <w:style w:styleId="Style_76_ch" w:type="character">
    <w:name w:val="Default"/>
    <w:link w:val="Style_76"/>
    <w:rPr>
      <w:rFonts w:ascii="Times New Roman" w:hAnsi="Times New Roman"/>
      <w:sz w:val="24"/>
    </w:rPr>
  </w:style>
  <w:style w:styleId="Style_77" w:type="paragraph">
    <w:name w:val="Hyperlink"/>
    <w:link w:val="Style_77_ch"/>
    <w:rPr>
      <w:color w:val="0000FF"/>
      <w:u w:val="single"/>
    </w:rPr>
  </w:style>
  <w:style w:styleId="Style_77_ch" w:type="character">
    <w:name w:val="Hyperlink"/>
    <w:link w:val="Style_77"/>
    <w:rPr>
      <w:color w:val="0000FF"/>
      <w:u w:val="single"/>
    </w:rPr>
  </w:style>
  <w:style w:styleId="Style_78" w:type="paragraph">
    <w:name w:val="Footnote"/>
    <w:link w:val="Style_78_ch"/>
    <w:pPr>
      <w:ind w:firstLine="851" w:left="0"/>
      <w:jc w:val="both"/>
    </w:pPr>
    <w:rPr>
      <w:rFonts w:ascii="XO Thames" w:hAnsi="XO Thames"/>
    </w:rPr>
  </w:style>
  <w:style w:styleId="Style_78_ch" w:type="character">
    <w:name w:val="Footnote"/>
    <w:link w:val="Style_78"/>
    <w:rPr>
      <w:rFonts w:ascii="XO Thames" w:hAnsi="XO Thames"/>
    </w:rPr>
  </w:style>
  <w:style w:styleId="Style_79" w:type="paragraph">
    <w:name w:val="FR1"/>
    <w:link w:val="Style_79_ch"/>
    <w:pPr>
      <w:spacing w:after="0" w:before="240" w:line="300" w:lineRule="auto"/>
      <w:ind w:firstLine="0" w:left="80"/>
      <w:jc w:val="center"/>
    </w:pPr>
    <w:rPr>
      <w:rFonts w:ascii="Arial" w:hAnsi="Arial"/>
      <w:b w:val="1"/>
      <w:sz w:val="28"/>
    </w:rPr>
  </w:style>
  <w:style w:styleId="Style_79_ch" w:type="character">
    <w:name w:val="FR1"/>
    <w:link w:val="Style_79"/>
    <w:rPr>
      <w:rFonts w:ascii="Arial" w:hAnsi="Arial"/>
      <w:b w:val="1"/>
      <w:sz w:val="28"/>
    </w:rPr>
  </w:style>
  <w:style w:styleId="Style_80" w:type="paragraph">
    <w:name w:val="xl66"/>
    <w:basedOn w:val="Style_4"/>
    <w:link w:val="Style_8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80_ch" w:type="character">
    <w:name w:val="xl66"/>
    <w:basedOn w:val="Style_4_ch"/>
    <w:link w:val="Style_80"/>
    <w:rPr>
      <w:rFonts w:ascii="Times New Roman" w:hAnsi="Times New Roman"/>
      <w:sz w:val="24"/>
    </w:rPr>
  </w:style>
  <w:style w:styleId="Style_81" w:type="paragraph">
    <w:name w:val="toc 1"/>
    <w:next w:val="Style_4"/>
    <w:link w:val="Style_81_ch"/>
    <w:uiPriority w:val="39"/>
    <w:rPr>
      <w:rFonts w:ascii="XO Thames" w:hAnsi="XO Thames"/>
      <w:b w:val="1"/>
      <w:sz w:val="28"/>
    </w:rPr>
  </w:style>
  <w:style w:styleId="Style_81_ch" w:type="character">
    <w:name w:val="toc 1"/>
    <w:link w:val="Style_81"/>
    <w:rPr>
      <w:rFonts w:ascii="XO Thames" w:hAnsi="XO Thames"/>
      <w:b w:val="1"/>
      <w:sz w:val="28"/>
    </w:rPr>
  </w:style>
  <w:style w:styleId="Style_82" w:type="paragraph">
    <w:name w:val="annotation subject"/>
    <w:basedOn w:val="Style_83"/>
    <w:next w:val="Style_83"/>
    <w:link w:val="Style_82_ch"/>
    <w:rPr>
      <w:b w:val="1"/>
    </w:rPr>
  </w:style>
  <w:style w:styleId="Style_82_ch" w:type="character">
    <w:name w:val="annotation subject"/>
    <w:basedOn w:val="Style_83_ch"/>
    <w:link w:val="Style_82"/>
    <w:rPr>
      <w:b w:val="1"/>
    </w:rPr>
  </w:style>
  <w:style w:styleId="Style_84" w:type="paragraph">
    <w:name w:val="Выделение1"/>
    <w:link w:val="Style_84_ch"/>
    <w:rPr>
      <w:i w:val="1"/>
    </w:rPr>
  </w:style>
  <w:style w:styleId="Style_84_ch" w:type="character">
    <w:name w:val="Выделение1"/>
    <w:link w:val="Style_84"/>
    <w:rPr>
      <w:i w:val="1"/>
    </w:rPr>
  </w:style>
  <w:style w:styleId="Style_85" w:type="paragraph">
    <w:name w:val="xl70"/>
    <w:basedOn w:val="Style_4"/>
    <w:link w:val="Style_85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85_ch" w:type="character">
    <w:name w:val="xl70"/>
    <w:basedOn w:val="Style_4_ch"/>
    <w:link w:val="Style_85"/>
    <w:rPr>
      <w:rFonts w:ascii="Times New Roman" w:hAnsi="Times New Roman"/>
      <w:sz w:val="24"/>
    </w:rPr>
  </w:style>
  <w:style w:styleId="Style_86" w:type="paragraph">
    <w:name w:val="Header and Footer"/>
    <w:link w:val="Style_86_ch"/>
    <w:pPr>
      <w:spacing w:line="240" w:lineRule="auto"/>
      <w:ind/>
      <w:jc w:val="both"/>
    </w:pPr>
    <w:rPr>
      <w:rFonts w:ascii="XO Thames" w:hAnsi="XO Thames"/>
      <w:sz w:val="20"/>
    </w:rPr>
  </w:style>
  <w:style w:styleId="Style_86_ch" w:type="character">
    <w:name w:val="Header and Footer"/>
    <w:link w:val="Style_86"/>
    <w:rPr>
      <w:rFonts w:ascii="XO Thames" w:hAnsi="XO Thames"/>
      <w:sz w:val="20"/>
    </w:rPr>
  </w:style>
  <w:style w:styleId="Style_87" w:type="paragraph">
    <w:name w:val="xl90"/>
    <w:basedOn w:val="Style_4"/>
    <w:link w:val="Style_87_ch"/>
    <w:pPr>
      <w:spacing w:afterAutospacing="on" w:beforeAutospacing="on" w:line="240" w:lineRule="auto"/>
      <w:ind/>
      <w:jc w:val="center"/>
    </w:pPr>
    <w:rPr>
      <w:rFonts w:ascii="Times New Roman" w:hAnsi="Times New Roman"/>
      <w:i w:val="1"/>
      <w:sz w:val="24"/>
    </w:rPr>
  </w:style>
  <w:style w:styleId="Style_87_ch" w:type="character">
    <w:name w:val="xl90"/>
    <w:basedOn w:val="Style_4_ch"/>
    <w:link w:val="Style_87"/>
    <w:rPr>
      <w:rFonts w:ascii="Times New Roman" w:hAnsi="Times New Roman"/>
      <w:i w:val="1"/>
      <w:sz w:val="24"/>
    </w:rPr>
  </w:style>
  <w:style w:styleId="Style_88" w:type="paragraph">
    <w:name w:val="Основной текст5"/>
    <w:basedOn w:val="Style_4"/>
    <w:link w:val="Style_88_ch"/>
    <w:pPr>
      <w:spacing w:after="0" w:before="240" w:line="274" w:lineRule="exact"/>
      <w:ind/>
      <w:jc w:val="both"/>
    </w:pPr>
    <w:rPr>
      <w:rFonts w:ascii="Times New Roman" w:hAnsi="Times New Roman"/>
      <w:sz w:val="23"/>
    </w:rPr>
  </w:style>
  <w:style w:styleId="Style_88_ch" w:type="character">
    <w:name w:val="Основной текст5"/>
    <w:basedOn w:val="Style_4_ch"/>
    <w:link w:val="Style_88"/>
    <w:rPr>
      <w:rFonts w:ascii="Times New Roman" w:hAnsi="Times New Roman"/>
      <w:sz w:val="23"/>
    </w:rPr>
  </w:style>
  <w:style w:styleId="Style_89" w:type="paragraph">
    <w:name w:val="Body Text 2"/>
    <w:link w:val="Style_89_ch"/>
    <w:pPr>
      <w:spacing w:after="120" w:line="480" w:lineRule="auto"/>
      <w:ind/>
    </w:pPr>
    <w:rPr>
      <w:rFonts w:ascii="Times New Roman" w:hAnsi="Times New Roman"/>
      <w:sz w:val="24"/>
    </w:rPr>
  </w:style>
  <w:style w:styleId="Style_89_ch" w:type="character">
    <w:name w:val="Body Text 2"/>
    <w:link w:val="Style_89"/>
    <w:rPr>
      <w:rFonts w:ascii="Times New Roman" w:hAnsi="Times New Roman"/>
      <w:sz w:val="24"/>
    </w:rPr>
  </w:style>
  <w:style w:styleId="Style_90" w:type="paragraph">
    <w:name w:val="Основной текст с отступом;Нумерованный список !!;Основной текст 1;Надин стиль"/>
    <w:link w:val="Style_90_ch"/>
    <w:pPr>
      <w:spacing w:after="0" w:line="240" w:lineRule="auto"/>
      <w:ind w:firstLine="709" w:left="0"/>
      <w:jc w:val="both"/>
    </w:pPr>
    <w:rPr>
      <w:rFonts w:ascii="Times New Roman" w:hAnsi="Times New Roman"/>
      <w:sz w:val="24"/>
    </w:rPr>
  </w:style>
  <w:style w:styleId="Style_90_ch" w:type="character">
    <w:name w:val="Основной текст с отступом;Нумерованный список !!;Основной текст 1;Надин стиль"/>
    <w:link w:val="Style_90"/>
    <w:rPr>
      <w:rFonts w:ascii="Times New Roman" w:hAnsi="Times New Roman"/>
      <w:sz w:val="24"/>
    </w:rPr>
  </w:style>
  <w:style w:styleId="Style_91" w:type="paragraph">
    <w:name w:val="Прижатый влево"/>
    <w:basedOn w:val="Style_4"/>
    <w:next w:val="Style_4"/>
    <w:link w:val="Style_91_ch"/>
    <w:pPr>
      <w:spacing w:after="0" w:line="240" w:lineRule="auto"/>
      <w:ind/>
    </w:pPr>
    <w:rPr>
      <w:rFonts w:ascii="Arial" w:hAnsi="Arial"/>
      <w:sz w:val="24"/>
    </w:rPr>
  </w:style>
  <w:style w:styleId="Style_91_ch" w:type="character">
    <w:name w:val="Прижатый влево"/>
    <w:basedOn w:val="Style_4_ch"/>
    <w:link w:val="Style_91"/>
    <w:rPr>
      <w:rFonts w:ascii="Arial" w:hAnsi="Arial"/>
      <w:sz w:val="24"/>
    </w:rPr>
  </w:style>
  <w:style w:styleId="Style_92" w:type="paragraph">
    <w:name w:val="xl76"/>
    <w:basedOn w:val="Style_4"/>
    <w:link w:val="Style_9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92_ch" w:type="character">
    <w:name w:val="xl76"/>
    <w:basedOn w:val="Style_4_ch"/>
    <w:link w:val="Style_92"/>
    <w:rPr>
      <w:rFonts w:ascii="Times New Roman" w:hAnsi="Times New Roman"/>
      <w:sz w:val="24"/>
    </w:rPr>
  </w:style>
  <w:style w:styleId="Style_93" w:type="paragraph">
    <w:name w:val="toc 9"/>
    <w:next w:val="Style_4"/>
    <w:link w:val="Style_93_ch"/>
    <w:uiPriority w:val="39"/>
    <w:pPr>
      <w:ind w:firstLine="0" w:left="1600"/>
    </w:pPr>
    <w:rPr>
      <w:rFonts w:ascii="XO Thames" w:hAnsi="XO Thames"/>
      <w:sz w:val="28"/>
    </w:rPr>
  </w:style>
  <w:style w:styleId="Style_93_ch" w:type="character">
    <w:name w:val="toc 9"/>
    <w:link w:val="Style_93"/>
    <w:rPr>
      <w:rFonts w:ascii="XO Thames" w:hAnsi="XO Thames"/>
      <w:sz w:val="28"/>
    </w:rPr>
  </w:style>
  <w:style w:styleId="Style_94" w:type="paragraph">
    <w:name w:val="xl72"/>
    <w:basedOn w:val="Style_4"/>
    <w:link w:val="Style_94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94_ch" w:type="character">
    <w:name w:val="xl72"/>
    <w:basedOn w:val="Style_4_ch"/>
    <w:link w:val="Style_94"/>
    <w:rPr>
      <w:rFonts w:ascii="Times New Roman" w:hAnsi="Times New Roman"/>
      <w:sz w:val="24"/>
    </w:rPr>
  </w:style>
  <w:style w:styleId="Style_95" w:type="paragraph">
    <w:name w:val="Block Text"/>
    <w:link w:val="Style_95_ch"/>
    <w:pPr>
      <w:spacing w:after="0" w:line="360" w:lineRule="auto"/>
      <w:ind w:firstLine="567" w:left="-567" w:right="-766"/>
      <w:jc w:val="both"/>
    </w:pPr>
    <w:rPr>
      <w:rFonts w:ascii="Times New Roman" w:hAnsi="Times New Roman"/>
      <w:sz w:val="24"/>
    </w:rPr>
  </w:style>
  <w:style w:styleId="Style_95_ch" w:type="character">
    <w:name w:val="Block Text"/>
    <w:link w:val="Style_95"/>
    <w:rPr>
      <w:rFonts w:ascii="Times New Roman" w:hAnsi="Times New Roman"/>
      <w:sz w:val="24"/>
    </w:rPr>
  </w:style>
  <w:style w:styleId="Style_96" w:type="paragraph">
    <w:name w:val="Document Map"/>
    <w:basedOn w:val="Style_4"/>
    <w:link w:val="Style_96_ch"/>
    <w:pPr>
      <w:spacing w:after="0" w:line="240" w:lineRule="auto"/>
      <w:ind/>
    </w:pPr>
    <w:rPr>
      <w:rFonts w:ascii="Tahoma" w:hAnsi="Tahoma"/>
      <w:sz w:val="20"/>
    </w:rPr>
  </w:style>
  <w:style w:styleId="Style_96_ch" w:type="character">
    <w:name w:val="Document Map"/>
    <w:basedOn w:val="Style_4_ch"/>
    <w:link w:val="Style_96"/>
    <w:rPr>
      <w:rFonts w:ascii="Tahoma" w:hAnsi="Tahoma"/>
      <w:sz w:val="20"/>
    </w:rPr>
  </w:style>
  <w:style w:styleId="Style_97" w:type="paragraph">
    <w:name w:val="xl81"/>
    <w:basedOn w:val="Style_4"/>
    <w:link w:val="Style_9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97_ch" w:type="character">
    <w:name w:val="xl81"/>
    <w:basedOn w:val="Style_4_ch"/>
    <w:link w:val="Style_97"/>
    <w:rPr>
      <w:rFonts w:ascii="Times New Roman" w:hAnsi="Times New Roman"/>
      <w:sz w:val="24"/>
    </w:rPr>
  </w:style>
  <w:style w:styleId="Style_98" w:type="paragraph">
    <w:name w:val="header"/>
    <w:basedOn w:val="Style_4"/>
    <w:link w:val="Style_98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98_ch" w:type="character">
    <w:name w:val="header"/>
    <w:basedOn w:val="Style_4_ch"/>
    <w:link w:val="Style_98"/>
  </w:style>
  <w:style w:styleId="Style_99" w:type="paragraph">
    <w:name w:val="Колонтитул"/>
    <w:basedOn w:val="Style_4"/>
    <w:link w:val="Style_99_ch"/>
    <w:pPr>
      <w:spacing w:after="0" w:line="240" w:lineRule="auto"/>
      <w:ind/>
    </w:pPr>
  </w:style>
  <w:style w:styleId="Style_99_ch" w:type="character">
    <w:name w:val="Колонтитул"/>
    <w:basedOn w:val="Style_4_ch"/>
    <w:link w:val="Style_99"/>
  </w:style>
  <w:style w:styleId="Style_100" w:type="paragraph">
    <w:name w:val="toc 8"/>
    <w:next w:val="Style_4"/>
    <w:link w:val="Style_100_ch"/>
    <w:uiPriority w:val="39"/>
    <w:pPr>
      <w:ind w:firstLine="0" w:left="1400"/>
    </w:pPr>
    <w:rPr>
      <w:rFonts w:ascii="XO Thames" w:hAnsi="XO Thames"/>
      <w:sz w:val="28"/>
    </w:rPr>
  </w:style>
  <w:style w:styleId="Style_100_ch" w:type="character">
    <w:name w:val="toc 8"/>
    <w:link w:val="Style_100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01" w:type="paragraph">
    <w:name w:val="Гиперссылка1"/>
    <w:link w:val="Style_101_ch"/>
    <w:rPr>
      <w:color w:val="0000FF"/>
      <w:u w:val="single"/>
    </w:rPr>
  </w:style>
  <w:style w:styleId="Style_101_ch" w:type="character">
    <w:name w:val="Гиперссылка1"/>
    <w:link w:val="Style_101"/>
    <w:rPr>
      <w:color w:val="0000FF"/>
      <w:u w:val="single"/>
    </w:rPr>
  </w:style>
  <w:style w:styleId="Style_102" w:type="paragraph">
    <w:name w:val="xl98"/>
    <w:basedOn w:val="Style_4"/>
    <w:link w:val="Style_102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02_ch" w:type="character">
    <w:name w:val="xl98"/>
    <w:basedOn w:val="Style_4_ch"/>
    <w:link w:val="Style_102"/>
    <w:rPr>
      <w:rFonts w:ascii="Times New Roman" w:hAnsi="Times New Roman"/>
      <w:b w:val="1"/>
      <w:sz w:val="24"/>
    </w:rPr>
  </w:style>
  <w:style w:styleId="Style_103" w:type="paragraph">
    <w:name w:val="HTML Preformatted"/>
    <w:link w:val="Style_103_ch"/>
    <w:pPr>
      <w:spacing w:after="0" w:line="240" w:lineRule="auto"/>
      <w:ind/>
    </w:pPr>
    <w:rPr>
      <w:rFonts w:ascii="Courier New" w:hAnsi="Courier New"/>
      <w:sz w:val="26"/>
    </w:rPr>
  </w:style>
  <w:style w:styleId="Style_103_ch" w:type="character">
    <w:name w:val="HTML Preformatted"/>
    <w:link w:val="Style_103"/>
    <w:rPr>
      <w:rFonts w:ascii="Courier New" w:hAnsi="Courier New"/>
      <w:sz w:val="26"/>
    </w:rPr>
  </w:style>
  <w:style w:styleId="Style_104" w:type="paragraph">
    <w:name w:val="xl79"/>
    <w:basedOn w:val="Style_4"/>
    <w:link w:val="Style_104_ch"/>
    <w:pPr>
      <w:spacing w:afterAutospacing="on" w:beforeAutospacing="on" w:line="240" w:lineRule="auto"/>
      <w:ind/>
      <w:jc w:val="center"/>
    </w:pPr>
    <w:rPr>
      <w:rFonts w:ascii="Times New Roman" w:hAnsi="Times New Roman"/>
      <w:i w:val="1"/>
      <w:sz w:val="24"/>
    </w:rPr>
  </w:style>
  <w:style w:styleId="Style_104_ch" w:type="character">
    <w:name w:val="xl79"/>
    <w:basedOn w:val="Style_4_ch"/>
    <w:link w:val="Style_104"/>
    <w:rPr>
      <w:rFonts w:ascii="Times New Roman" w:hAnsi="Times New Roman"/>
      <w:i w:val="1"/>
      <w:sz w:val="24"/>
    </w:rPr>
  </w:style>
  <w:style w:styleId="Style_83" w:type="paragraph">
    <w:name w:val="annotation text"/>
    <w:basedOn w:val="Style_4"/>
    <w:link w:val="Style_83_ch"/>
    <w:pPr>
      <w:spacing w:line="240" w:lineRule="auto"/>
      <w:ind/>
    </w:pPr>
    <w:rPr>
      <w:sz w:val="20"/>
    </w:rPr>
  </w:style>
  <w:style w:styleId="Style_83_ch" w:type="character">
    <w:name w:val="annotation text"/>
    <w:basedOn w:val="Style_4_ch"/>
    <w:link w:val="Style_83"/>
    <w:rPr>
      <w:sz w:val="20"/>
    </w:rPr>
  </w:style>
  <w:style w:styleId="Style_105" w:type="paragraph">
    <w:name w:val="Body Text 3"/>
    <w:basedOn w:val="Style_4"/>
    <w:link w:val="Style_105_ch"/>
    <w:pPr>
      <w:spacing w:after="0" w:line="240" w:lineRule="auto"/>
      <w:ind/>
      <w:jc w:val="both"/>
    </w:pPr>
    <w:rPr>
      <w:rFonts w:ascii="Times New Roman" w:hAnsi="Times New Roman"/>
      <w:color w:val="008000"/>
      <w:sz w:val="28"/>
    </w:rPr>
  </w:style>
  <w:style w:styleId="Style_105_ch" w:type="character">
    <w:name w:val="Body Text 3"/>
    <w:basedOn w:val="Style_4_ch"/>
    <w:link w:val="Style_105"/>
    <w:rPr>
      <w:rFonts w:ascii="Times New Roman" w:hAnsi="Times New Roman"/>
      <w:color w:val="008000"/>
      <w:sz w:val="28"/>
    </w:rPr>
  </w:style>
  <w:style w:styleId="Style_106" w:type="paragraph">
    <w:name w:val="Balloon Text"/>
    <w:basedOn w:val="Style_4"/>
    <w:link w:val="Style_106_ch"/>
    <w:pPr>
      <w:spacing w:after="0" w:line="240" w:lineRule="auto"/>
      <w:ind/>
    </w:pPr>
    <w:rPr>
      <w:rFonts w:ascii="Segoe UI" w:hAnsi="Segoe UI"/>
      <w:sz w:val="18"/>
    </w:rPr>
  </w:style>
  <w:style w:styleId="Style_106_ch" w:type="character">
    <w:name w:val="Balloon Text"/>
    <w:basedOn w:val="Style_4_ch"/>
    <w:link w:val="Style_106"/>
    <w:rPr>
      <w:rFonts w:ascii="Segoe UI" w:hAnsi="Segoe UI"/>
      <w:sz w:val="18"/>
    </w:rPr>
  </w:style>
  <w:style w:styleId="Style_107" w:type="paragraph">
    <w:name w:val="xl87"/>
    <w:basedOn w:val="Style_4"/>
    <w:link w:val="Style_10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07_ch" w:type="character">
    <w:name w:val="xl87"/>
    <w:basedOn w:val="Style_4_ch"/>
    <w:link w:val="Style_107"/>
    <w:rPr>
      <w:rFonts w:ascii="Times New Roman" w:hAnsi="Times New Roman"/>
      <w:sz w:val="24"/>
    </w:rPr>
  </w:style>
  <w:style w:styleId="Style_108" w:type="paragraph">
    <w:name w:val="Car Char Car Char Car Char Car Char Car Char Знак Знак Знак Char Знак Знак Char"/>
    <w:link w:val="Style_108_ch"/>
    <w:pPr>
      <w:spacing w:line="240" w:lineRule="exact"/>
      <w:ind/>
    </w:pPr>
    <w:rPr>
      <w:rFonts w:ascii="Arial" w:hAnsi="Arial"/>
      <w:sz w:val="20"/>
    </w:rPr>
  </w:style>
  <w:style w:styleId="Style_108_ch" w:type="character">
    <w:name w:val="Car Char Car Char Car Char Car Char Car Char Знак Знак Знак Char Знак Знак Char"/>
    <w:link w:val="Style_108"/>
    <w:rPr>
      <w:rFonts w:ascii="Arial" w:hAnsi="Arial"/>
      <w:sz w:val="20"/>
    </w:rPr>
  </w:style>
  <w:style w:styleId="Style_109" w:type="paragraph">
    <w:name w:val="Без интервала11"/>
    <w:link w:val="Style_109_ch"/>
    <w:pPr>
      <w:spacing w:after="0" w:line="240" w:lineRule="auto"/>
      <w:ind/>
    </w:pPr>
    <w:rPr>
      <w:rFonts w:ascii="Calibri" w:hAnsi="Calibri"/>
    </w:rPr>
  </w:style>
  <w:style w:styleId="Style_109_ch" w:type="character">
    <w:name w:val="Без интервала11"/>
    <w:link w:val="Style_109"/>
    <w:rPr>
      <w:rFonts w:ascii="Calibri" w:hAnsi="Calibri"/>
    </w:rPr>
  </w:style>
  <w:style w:styleId="Style_110" w:type="paragraph">
    <w:name w:val="xl77"/>
    <w:basedOn w:val="Style_4"/>
    <w:link w:val="Style_110_ch"/>
    <w:pPr>
      <w:spacing w:afterAutospacing="on" w:beforeAutospacing="on" w:line="240" w:lineRule="auto"/>
      <w:ind/>
      <w:jc w:val="center"/>
    </w:pPr>
    <w:rPr>
      <w:rFonts w:ascii="Times New Roman" w:hAnsi="Times New Roman"/>
      <w:i w:val="1"/>
      <w:sz w:val="24"/>
    </w:rPr>
  </w:style>
  <w:style w:styleId="Style_110_ch" w:type="character">
    <w:name w:val="xl77"/>
    <w:basedOn w:val="Style_4_ch"/>
    <w:link w:val="Style_110"/>
    <w:rPr>
      <w:rFonts w:ascii="Times New Roman" w:hAnsi="Times New Roman"/>
      <w:i w:val="1"/>
      <w:sz w:val="24"/>
    </w:rPr>
  </w:style>
  <w:style w:styleId="Style_111" w:type="paragraph">
    <w:name w:val="toc 5"/>
    <w:next w:val="Style_4"/>
    <w:link w:val="Style_111_ch"/>
    <w:uiPriority w:val="39"/>
    <w:pPr>
      <w:ind w:firstLine="0" w:left="800"/>
    </w:pPr>
    <w:rPr>
      <w:rFonts w:ascii="XO Thames" w:hAnsi="XO Thames"/>
      <w:sz w:val="28"/>
    </w:rPr>
  </w:style>
  <w:style w:styleId="Style_111_ch" w:type="character">
    <w:name w:val="toc 5"/>
    <w:link w:val="Style_111"/>
    <w:rPr>
      <w:rFonts w:ascii="XO Thames" w:hAnsi="XO Thames"/>
      <w:sz w:val="28"/>
    </w:rPr>
  </w:style>
  <w:style w:styleId="Style_112" w:type="paragraph">
    <w:name w:val="xl97"/>
    <w:basedOn w:val="Style_4"/>
    <w:link w:val="Style_11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2_ch" w:type="character">
    <w:name w:val="xl97"/>
    <w:basedOn w:val="Style_4_ch"/>
    <w:link w:val="Style_112"/>
    <w:rPr>
      <w:rFonts w:ascii="Times New Roman" w:hAnsi="Times New Roman"/>
      <w:sz w:val="24"/>
    </w:rPr>
  </w:style>
  <w:style w:styleId="Style_113" w:type="paragraph">
    <w:name w:val="Абзац списка12"/>
    <w:link w:val="Style_113_ch"/>
    <w:pPr>
      <w:spacing w:after="200" w:line="276" w:lineRule="auto"/>
      <w:ind w:firstLine="0" w:left="720"/>
    </w:pPr>
    <w:rPr>
      <w:rFonts w:ascii="Calibri" w:hAnsi="Calibri"/>
    </w:rPr>
  </w:style>
  <w:style w:styleId="Style_113_ch" w:type="character">
    <w:name w:val="Абзац списка12"/>
    <w:link w:val="Style_113"/>
    <w:rPr>
      <w:rFonts w:ascii="Calibri" w:hAnsi="Calibri"/>
    </w:rPr>
  </w:style>
  <w:style w:styleId="Style_114" w:type="paragraph">
    <w:name w:val="xl68"/>
    <w:basedOn w:val="Style_4"/>
    <w:link w:val="Style_114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14_ch" w:type="character">
    <w:name w:val="xl68"/>
    <w:basedOn w:val="Style_4_ch"/>
    <w:link w:val="Style_114"/>
    <w:rPr>
      <w:rFonts w:ascii="Times New Roman" w:hAnsi="Times New Roman"/>
      <w:sz w:val="24"/>
    </w:rPr>
  </w:style>
  <w:style w:styleId="Style_115" w:type="paragraph">
    <w:name w:val="xl74"/>
    <w:basedOn w:val="Style_4"/>
    <w:link w:val="Style_115_ch"/>
    <w:pPr>
      <w:spacing w:afterAutospacing="on" w:beforeAutospacing="on" w:line="240" w:lineRule="auto"/>
      <w:ind/>
      <w:jc w:val="center"/>
    </w:pPr>
    <w:rPr>
      <w:rFonts w:ascii="Times New Roman" w:hAnsi="Times New Roman"/>
      <w:i w:val="1"/>
      <w:sz w:val="24"/>
    </w:rPr>
  </w:style>
  <w:style w:styleId="Style_115_ch" w:type="character">
    <w:name w:val="xl74"/>
    <w:basedOn w:val="Style_4_ch"/>
    <w:link w:val="Style_115"/>
    <w:rPr>
      <w:rFonts w:ascii="Times New Roman" w:hAnsi="Times New Roman"/>
      <w:i w:val="1"/>
      <w:sz w:val="24"/>
    </w:rPr>
  </w:style>
  <w:style w:styleId="Style_116" w:type="paragraph">
    <w:name w:val="xl100"/>
    <w:basedOn w:val="Style_4"/>
    <w:link w:val="Style_11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6_ch" w:type="character">
    <w:name w:val="xl100"/>
    <w:basedOn w:val="Style_4_ch"/>
    <w:link w:val="Style_116"/>
    <w:rPr>
      <w:rFonts w:ascii="Times New Roman" w:hAnsi="Times New Roman"/>
      <w:sz w:val="24"/>
    </w:rPr>
  </w:style>
  <w:style w:styleId="Style_117" w:type="paragraph">
    <w:name w:val="Гипертекстовая ссылка"/>
    <w:link w:val="Style_117_ch"/>
    <w:rPr>
      <w:color w:val="106BBE"/>
    </w:rPr>
  </w:style>
  <w:style w:styleId="Style_117_ch" w:type="character">
    <w:name w:val="Гипертекстовая ссылка"/>
    <w:link w:val="Style_117"/>
    <w:rPr>
      <w:color w:val="106BBE"/>
    </w:rPr>
  </w:style>
  <w:style w:styleId="Style_118" w:type="paragraph">
    <w:name w:val="consplusnormal"/>
    <w:link w:val="Style_118_ch"/>
    <w:pPr>
      <w:spacing w:after="100" w:before="100" w:line="240" w:lineRule="auto"/>
      <w:ind/>
    </w:pPr>
    <w:rPr>
      <w:rFonts w:ascii="Arial Unicode MS" w:hAnsi="Arial Unicode MS"/>
      <w:sz w:val="24"/>
    </w:rPr>
  </w:style>
  <w:style w:styleId="Style_118_ch" w:type="character">
    <w:name w:val="consplusnormal"/>
    <w:link w:val="Style_118"/>
    <w:rPr>
      <w:rFonts w:ascii="Arial Unicode MS" w:hAnsi="Arial Unicode MS"/>
      <w:sz w:val="24"/>
    </w:rPr>
  </w:style>
  <w:style w:styleId="Style_119" w:type="paragraph">
    <w:name w:val="ConsPlusNonformat"/>
    <w:link w:val="Style_119_ch"/>
    <w:pPr>
      <w:spacing w:after="0" w:line="240" w:lineRule="auto"/>
      <w:ind/>
    </w:pPr>
    <w:rPr>
      <w:rFonts w:ascii="Courier New" w:hAnsi="Courier New"/>
      <w:sz w:val="20"/>
    </w:rPr>
  </w:style>
  <w:style w:styleId="Style_119_ch" w:type="character">
    <w:name w:val="ConsPlusNonformat"/>
    <w:link w:val="Style_119"/>
    <w:rPr>
      <w:rFonts w:ascii="Courier New" w:hAnsi="Courier New"/>
      <w:sz w:val="20"/>
    </w:rPr>
  </w:style>
  <w:style w:styleId="Style_120" w:type="paragraph">
    <w:name w:val="Знак примечания1"/>
    <w:basedOn w:val="Style_19"/>
    <w:link w:val="Style_120_ch"/>
    <w:rPr>
      <w:sz w:val="16"/>
    </w:rPr>
  </w:style>
  <w:style w:styleId="Style_120_ch" w:type="character">
    <w:name w:val="Знак примечания1"/>
    <w:basedOn w:val="Style_19_ch"/>
    <w:link w:val="Style_120"/>
    <w:rPr>
      <w:sz w:val="16"/>
    </w:rPr>
  </w:style>
  <w:style w:styleId="Style_121" w:type="paragraph">
    <w:name w:val="Body Text First Indent"/>
    <w:basedOn w:val="Style_122"/>
    <w:link w:val="Style_121_ch"/>
    <w:pPr>
      <w:ind w:firstLine="210" w:left="0"/>
    </w:pPr>
  </w:style>
  <w:style w:styleId="Style_121_ch" w:type="character">
    <w:name w:val="Body Text First Indent"/>
    <w:basedOn w:val="Style_122_ch"/>
    <w:link w:val="Style_121"/>
  </w:style>
  <w:style w:styleId="Style_123" w:type="paragraph">
    <w:name w:val="Обычный (веб);Обычный (Web)1;Обычный (веб) Знак1;Обычный (веб) Знак Знак;Обычный (Web);Знак Знак"/>
    <w:link w:val="Style_123_ch"/>
    <w:pPr>
      <w:spacing w:after="100" w:before="100" w:line="240" w:lineRule="auto"/>
      <w:ind/>
    </w:pPr>
    <w:rPr>
      <w:rFonts w:ascii="Times New Roman" w:hAnsi="Times New Roman"/>
      <w:sz w:val="24"/>
    </w:rPr>
  </w:style>
  <w:style w:styleId="Style_123_ch" w:type="character">
    <w:name w:val="Обычный (веб);Обычный (Web)1;Обычный (веб) Знак1;Обычный (веб) Знак Знак;Обычный (Web);Знак Знак"/>
    <w:link w:val="Style_123"/>
    <w:rPr>
      <w:rFonts w:ascii="Times New Roman" w:hAnsi="Times New Roman"/>
      <w:sz w:val="24"/>
    </w:rPr>
  </w:style>
  <w:style w:styleId="Style_124" w:type="paragraph">
    <w:name w:val="Основной текст (3)"/>
    <w:basedOn w:val="Style_4"/>
    <w:link w:val="Style_124_ch"/>
    <w:pPr>
      <w:spacing w:after="240" w:before="240" w:line="274" w:lineRule="exact"/>
      <w:ind w:hanging="1680" w:left="1680"/>
      <w:jc w:val="both"/>
    </w:pPr>
    <w:rPr>
      <w:sz w:val="23"/>
    </w:rPr>
  </w:style>
  <w:style w:styleId="Style_124_ch" w:type="character">
    <w:name w:val="Основной текст (3)"/>
    <w:basedOn w:val="Style_4_ch"/>
    <w:link w:val="Style_124"/>
    <w:rPr>
      <w:sz w:val="23"/>
    </w:rPr>
  </w:style>
  <w:style w:styleId="Style_125" w:type="paragraph">
    <w:name w:val="Subtitle"/>
    <w:link w:val="Style_125_ch"/>
    <w:uiPriority w:val="11"/>
    <w:qFormat/>
    <w:pPr>
      <w:spacing w:after="60" w:line="240" w:lineRule="auto"/>
      <w:ind/>
      <w:jc w:val="center"/>
    </w:pPr>
    <w:rPr>
      <w:rFonts w:ascii="Cambria" w:hAnsi="Cambria"/>
      <w:sz w:val="24"/>
    </w:rPr>
  </w:style>
  <w:style w:styleId="Style_125_ch" w:type="character">
    <w:name w:val="Subtitle"/>
    <w:link w:val="Style_125"/>
    <w:rPr>
      <w:rFonts w:ascii="Cambria" w:hAnsi="Cambria"/>
      <w:sz w:val="24"/>
    </w:rPr>
  </w:style>
  <w:style w:styleId="Style_122" w:type="paragraph">
    <w:name w:val="Body Text"/>
    <w:link w:val="Style_122_ch"/>
    <w:pPr>
      <w:spacing w:after="120" w:line="240" w:lineRule="auto"/>
      <w:ind/>
    </w:pPr>
    <w:rPr>
      <w:rFonts w:ascii="Times New Roman" w:hAnsi="Times New Roman"/>
      <w:sz w:val="24"/>
    </w:rPr>
  </w:style>
  <w:style w:styleId="Style_122_ch" w:type="character">
    <w:name w:val="Body Text"/>
    <w:link w:val="Style_122"/>
    <w:rPr>
      <w:rFonts w:ascii="Times New Roman" w:hAnsi="Times New Roman"/>
      <w:sz w:val="24"/>
    </w:rPr>
  </w:style>
  <w:style w:styleId="Style_2" w:type="paragraph">
    <w:name w:val="fontstyle01"/>
    <w:basedOn w:val="Style_19"/>
    <w:link w:val="Style_2_ch"/>
    <w:rPr>
      <w:rFonts w:ascii="Tahoma" w:hAnsi="Tahoma"/>
      <w:b w:val="1"/>
      <w:color w:val="D16349"/>
      <w:sz w:val="48"/>
    </w:rPr>
  </w:style>
  <w:style w:styleId="Style_2_ch" w:type="character">
    <w:name w:val="fontstyle01"/>
    <w:basedOn w:val="Style_19_ch"/>
    <w:link w:val="Style_2"/>
    <w:rPr>
      <w:rFonts w:ascii="Tahoma" w:hAnsi="Tahoma"/>
      <w:b w:val="1"/>
      <w:color w:val="D16349"/>
      <w:sz w:val="48"/>
    </w:rPr>
  </w:style>
  <w:style w:styleId="Style_126" w:type="paragraph">
    <w:name w:val="Default Paragraph Font"/>
    <w:link w:val="Style_126_ch"/>
  </w:style>
  <w:style w:styleId="Style_126_ch" w:type="character">
    <w:name w:val="Default Paragraph Font"/>
    <w:link w:val="Style_126"/>
  </w:style>
  <w:style w:styleId="Style_127" w:type="paragraph">
    <w:name w:val="Title"/>
    <w:link w:val="Style_127_ch"/>
    <w:uiPriority w:val="10"/>
    <w:qFormat/>
    <w:pPr>
      <w:spacing w:after="0" w:line="240" w:lineRule="auto"/>
      <w:ind w:firstLine="1080" w:left="-1080"/>
      <w:jc w:val="center"/>
    </w:pPr>
    <w:rPr>
      <w:rFonts w:ascii="Times New Roman" w:hAnsi="Times New Roman"/>
      <w:b w:val="1"/>
      <w:sz w:val="32"/>
    </w:rPr>
  </w:style>
  <w:style w:styleId="Style_127_ch" w:type="character">
    <w:name w:val="Title"/>
    <w:link w:val="Style_127"/>
    <w:rPr>
      <w:rFonts w:ascii="Times New Roman" w:hAnsi="Times New Roman"/>
      <w:b w:val="1"/>
      <w:sz w:val="32"/>
    </w:rPr>
  </w:style>
  <w:style w:styleId="Style_128" w:type="paragraph">
    <w:name w:val="heading 4"/>
    <w:next w:val="Style_4"/>
    <w:link w:val="Style_1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28_ch" w:type="character">
    <w:name w:val="heading 4"/>
    <w:link w:val="Style_128"/>
    <w:rPr>
      <w:rFonts w:ascii="XO Thames" w:hAnsi="XO Thames"/>
      <w:b w:val="1"/>
      <w:sz w:val="24"/>
    </w:rPr>
  </w:style>
  <w:style w:styleId="Style_129" w:type="paragraph">
    <w:name w:val="Просмотренная гиперссылка1"/>
    <w:link w:val="Style_129_ch"/>
    <w:rPr>
      <w:color w:val="800080"/>
      <w:u w:val="single"/>
    </w:rPr>
  </w:style>
  <w:style w:styleId="Style_129_ch" w:type="character">
    <w:name w:val="Просмотренная гиперссылка1"/>
    <w:link w:val="Style_129"/>
    <w:rPr>
      <w:color w:val="800080"/>
      <w:u w:val="single"/>
    </w:rPr>
  </w:style>
  <w:style w:styleId="Style_130" w:type="paragraph">
    <w:name w:val="xl89"/>
    <w:basedOn w:val="Style_4"/>
    <w:link w:val="Style_130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sz w:val="24"/>
    </w:rPr>
  </w:style>
  <w:style w:styleId="Style_130_ch" w:type="character">
    <w:name w:val="xl89"/>
    <w:basedOn w:val="Style_4_ch"/>
    <w:link w:val="Style_130"/>
    <w:rPr>
      <w:rFonts w:ascii="Times New Roman" w:hAnsi="Times New Roman"/>
      <w:b w:val="1"/>
      <w:sz w:val="24"/>
    </w:rPr>
  </w:style>
  <w:style w:styleId="Style_131" w:type="paragraph">
    <w:name w:val="Знак"/>
    <w:link w:val="Style_131_ch"/>
    <w:pPr>
      <w:spacing w:after="100" w:before="100" w:line="240" w:lineRule="auto"/>
      <w:ind/>
    </w:pPr>
    <w:rPr>
      <w:rFonts w:ascii="Tahoma" w:hAnsi="Tahoma"/>
      <w:sz w:val="20"/>
    </w:rPr>
  </w:style>
  <w:style w:styleId="Style_131_ch" w:type="character">
    <w:name w:val="Знак"/>
    <w:link w:val="Style_131"/>
    <w:rPr>
      <w:rFonts w:ascii="Tahoma" w:hAnsi="Tahoma"/>
      <w:sz w:val="20"/>
    </w:rPr>
  </w:style>
  <w:style w:styleId="Style_132" w:type="paragraph">
    <w:name w:val="heading 2"/>
    <w:link w:val="Style_132_ch"/>
    <w:uiPriority w:val="9"/>
    <w:qFormat/>
    <w:pPr>
      <w:spacing w:after="60" w:before="240" w:line="240" w:lineRule="auto"/>
      <w:ind/>
      <w:outlineLvl w:val="1"/>
    </w:pPr>
    <w:rPr>
      <w:rFonts w:ascii="Arial" w:hAnsi="Arial"/>
      <w:b w:val="1"/>
      <w:i w:val="1"/>
      <w:sz w:val="28"/>
    </w:rPr>
  </w:style>
  <w:style w:styleId="Style_132_ch" w:type="character">
    <w:name w:val="heading 2"/>
    <w:link w:val="Style_132"/>
    <w:rPr>
      <w:rFonts w:ascii="Arial" w:hAnsi="Arial"/>
      <w:b w:val="1"/>
      <w:i w:val="1"/>
      <w:sz w:val="28"/>
    </w:rPr>
  </w:style>
  <w:style w:styleId="Style_133" w:type="paragraph">
    <w:name w:val="Основной текст 21"/>
    <w:link w:val="Style_133_ch"/>
    <w:pPr>
      <w:spacing w:after="0" w:line="360" w:lineRule="auto"/>
      <w:ind w:firstLine="709" w:left="0"/>
      <w:jc w:val="both"/>
    </w:pPr>
    <w:rPr>
      <w:rFonts w:ascii="Times New Roman" w:hAnsi="Times New Roman"/>
      <w:sz w:val="26"/>
    </w:rPr>
  </w:style>
  <w:style w:styleId="Style_133_ch" w:type="character">
    <w:name w:val="Основной текст 21"/>
    <w:link w:val="Style_133"/>
    <w:rPr>
      <w:rFonts w:ascii="Times New Roman" w:hAnsi="Times New Roman"/>
      <w:sz w:val="26"/>
    </w:rPr>
  </w:style>
  <w:style w:styleId="Style_134" w:type="paragraph">
    <w:name w:val="Абзац списка2"/>
    <w:basedOn w:val="Style_4"/>
    <w:link w:val="Style_134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134_ch" w:type="character">
    <w:name w:val="Абзац списка2"/>
    <w:basedOn w:val="Style_4_ch"/>
    <w:link w:val="Style_134"/>
    <w:rPr>
      <w:rFonts w:ascii="Calibri" w:hAnsi="Calibri"/>
    </w:rPr>
  </w:style>
  <w:style w:styleId="Style_135" w:type="paragraph">
    <w:name w:val="xl65"/>
    <w:basedOn w:val="Style_4"/>
    <w:link w:val="Style_13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35_ch" w:type="character">
    <w:name w:val="xl65"/>
    <w:basedOn w:val="Style_4_ch"/>
    <w:link w:val="Style_135"/>
    <w:rPr>
      <w:rFonts w:ascii="Times New Roman" w:hAnsi="Times New Roman"/>
      <w:sz w:val="24"/>
    </w:rPr>
  </w:style>
  <w:style w:styleId="Style_136" w:type="paragraph">
    <w:name w:val="ConsPlusNormal"/>
    <w:link w:val="Style_136_ch"/>
    <w:pPr>
      <w:spacing w:after="0" w:line="240" w:lineRule="auto"/>
      <w:ind w:firstLine="720" w:left="0"/>
    </w:pPr>
    <w:rPr>
      <w:rFonts w:ascii="Arial" w:hAnsi="Arial"/>
      <w:sz w:val="20"/>
    </w:rPr>
  </w:style>
  <w:style w:styleId="Style_136_ch" w:type="character">
    <w:name w:val="ConsPlusNormal"/>
    <w:link w:val="Style_136"/>
    <w:rPr>
      <w:rFonts w:ascii="Arial" w:hAnsi="Arial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" w:type="table">
    <w:name w:val="Сетка таблицы1"/>
    <w:basedOn w:val="Style_3"/>
    <w:pPr>
      <w:spacing w:after="0" w:line="240" w:lineRule="auto"/>
      <w:ind/>
    </w:pPr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3" Target="numbering.xml" Type="http://schemas.openxmlformats.org/officeDocument/2006/relationships/numbering"/>
  <Relationship Id="rId11" Target="webSettings.xml" Type="http://schemas.openxmlformats.org/officeDocument/2006/relationships/webSettings"/>
  <Relationship Id="rId10" Target="stylesWithEffects.xml" Type="http://schemas.microsoft.com/office/2007/relationships/stylesWithEffects"/>
  <Relationship Id="rId9" Target="styles.xml" Type="http://schemas.openxmlformats.org/officeDocument/2006/relationships/styles"/>
  <Relationship Id="rId8" Target="settings.xml" Type="http://schemas.openxmlformats.org/officeDocument/2006/relationships/settings"/>
  <Relationship Id="rId7" Target="fontTable.xml" Type="http://schemas.openxmlformats.org/officeDocument/2006/relationships/fontTable"/>
  <Relationship Id="rId6" Target="footer6.xml" Type="http://schemas.openxmlformats.org/officeDocument/2006/relationships/footer"/>
  <Relationship Id="rId5" Target="header5.xml" Type="http://schemas.openxmlformats.org/officeDocument/2006/relationships/header"/>
  <Relationship Id="rId4" Target="footer4.xml" Type="http://schemas.openxmlformats.org/officeDocument/2006/relationships/footer"/>
  <Relationship Id="rId12" Target="theme/theme1.xml" Type="http://schemas.openxmlformats.org/officeDocument/2006/relationships/theme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2025-02-24T05:53:44Z</dcterms:modified>
</cp:coreProperties>
</file>