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1808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821"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предоставлении разрешения </w:t>
      </w:r>
      <w:r>
        <w:rPr>
          <w:rFonts w:ascii="Times New Roman" w:hAnsi="Times New Roman"/>
          <w:b w:val="0"/>
          <w:color w:val="000000"/>
          <w:sz w:val="28"/>
        </w:rPr>
        <w:t xml:space="preserve">на условно разрешенный вид </w:t>
      </w:r>
      <w:r>
        <w:rPr>
          <w:rFonts w:ascii="Times New Roman" w:hAnsi="Times New Roman"/>
          <w:b w:val="0"/>
          <w:color w:val="000000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z w:val="28"/>
        </w:rPr>
        <w:t>Нуртдинова Д.З.</w:t>
      </w:r>
      <w:r>
        <w:rPr>
          <w:rFonts w:ascii="Times New Roman" w:hAnsi="Times New Roman"/>
          <w:b w:val="0"/>
          <w:color w:val="000000"/>
          <w:sz w:val="28"/>
        </w:rPr>
        <w:t xml:space="preserve"> от 20.01.2025 № СИЭР:52781, оповещения о начале общественных обсуждений, опубликованного в газете «Магнитогорский рабочий» от 24.01.2025 № 8, заключения о результатах общественных обсуждений от 21.02.2025, опубликованного в газете «Магнитогорский рабочий» от 21.02.2025 №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25</w:t>
      </w:r>
      <w:r>
        <w:rPr>
          <w:rFonts w:ascii="Times New Roman" w:hAnsi="Times New Roman"/>
          <w:b w:val="0"/>
          <w:color w:val="000000"/>
          <w:sz w:val="28"/>
        </w:rPr>
        <w:t>.0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</w:rPr>
        <w:t>.2025 № АГ-03/</w:t>
      </w:r>
      <w:r>
        <w:rPr>
          <w:rFonts w:ascii="Times New Roman" w:hAnsi="Times New Roman"/>
          <w:b w:val="0"/>
          <w:color w:val="000000"/>
          <w:sz w:val="28"/>
        </w:rPr>
        <w:t>313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b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ведение огородничества (код 13.1) земельного участка,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из категории земель: земли населенных пунктов (территориальная зона Ж-4, зона индивидуальной жилой застройки) с кадастровым номером 74:33:1336020:718, расположенного: Челябинская область, г. Магнитогорск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в 25 м на северо-запад от жилого дома № 98а по ул. Бажова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b w:val="0"/>
          <w:color w:val="000000"/>
          <w:sz w:val="28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Вр-2055365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before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"/>
    <w:basedOn w:val="Style_3"/>
    <w:next w:val="Style_10"/>
    <w:link w:val="Style_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9_ch" w:type="character">
    <w:name w:val="Заголовок"/>
    <w:basedOn w:val="Style_3_ch"/>
    <w:link w:val="Style_9"/>
    <w:rPr>
      <w:rFonts w:ascii="PT Astra Serif" w:hAnsi="PT Astra Serif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3" w:type="paragraph">
    <w:name w:val="Caption"/>
    <w:basedOn w:val="Style_3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3_ch"/>
    <w:link w:val="Style_13"/>
    <w:rPr>
      <w:rFonts w:ascii="PT Astra Serif" w:hAnsi="PT Astra Serif"/>
      <w:i w:val="1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Указатель"/>
    <w:basedOn w:val="Style_3"/>
    <w:link w:val="Style_15_ch"/>
    <w:rPr>
      <w:rFonts w:ascii="PT Astra Serif" w:hAnsi="PT Astra Serif"/>
    </w:rPr>
  </w:style>
  <w:style w:styleId="Style_15_ch" w:type="character">
    <w:name w:val="Указатель"/>
    <w:basedOn w:val="Style_3_ch"/>
    <w:link w:val="Style_15"/>
    <w:rPr>
      <w:rFonts w:ascii="PT Astra Serif" w:hAnsi="PT Astra Serif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Нижний колонтитул Знак"/>
    <w:basedOn w:val="Style_24"/>
    <w:link w:val="Style_23_ch"/>
  </w:style>
  <w:style w:styleId="Style_23_ch" w:type="character">
    <w:name w:val="Нижний колонтитул Знак"/>
    <w:basedOn w:val="Style_24_ch"/>
    <w:link w:val="Style_23"/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Колонтитул"/>
    <w:basedOn w:val="Style_3"/>
    <w:link w:val="Style_27_ch"/>
  </w:style>
  <w:style w:styleId="Style_27_ch" w:type="character">
    <w:name w:val="Колонтитул"/>
    <w:basedOn w:val="Style_3_ch"/>
    <w:link w:val="Style_27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0" w:type="paragraph">
    <w:name w:val="Body Text"/>
    <w:basedOn w:val="Style_3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3_ch"/>
    <w:link w:val="Style_10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List"/>
    <w:basedOn w:val="Style_10"/>
    <w:link w:val="Style_31_ch"/>
    <w:rPr>
      <w:rFonts w:ascii="PT Astra Serif" w:hAnsi="PT Astra Serif"/>
    </w:rPr>
  </w:style>
  <w:style w:styleId="Style_31_ch" w:type="character">
    <w:name w:val="List"/>
    <w:basedOn w:val="Style_10_ch"/>
    <w:link w:val="Style_31"/>
    <w:rPr>
      <w:rFonts w:ascii="PT Astra Serif" w:hAnsi="PT Astra Serif"/>
    </w:rPr>
  </w:style>
  <w:style w:styleId="Style_32" w:type="paragraph">
    <w:name w:val="Верхний колонтитул Знак"/>
    <w:basedOn w:val="Style_24"/>
    <w:link w:val="Style_32_ch"/>
  </w:style>
  <w:style w:styleId="Style_32_ch" w:type="character">
    <w:name w:val="Верхний колонтитул Знак"/>
    <w:basedOn w:val="Style_24_ch"/>
    <w:link w:val="Style_32"/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2025-02-27T04:53:05Z</dcterms:modified>
</cp:coreProperties>
</file>