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 w:line="240" w:lineRule="auto"/>
        <w:ind w:firstLine="0" w:left="1020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2</w:t>
      </w:r>
      <w:r>
        <w:rPr>
          <w:rFonts w:ascii="Times New Roman" w:hAnsi="Times New Roman"/>
          <w:sz w:val="24"/>
        </w:rPr>
        <w:t xml:space="preserve"> </w:t>
      </w:r>
    </w:p>
    <w:p w14:paraId="02000000">
      <w:pPr>
        <w:spacing w:after="0" w:before="0" w:line="240" w:lineRule="auto"/>
        <w:ind w:firstLine="0" w:left="1020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постановлению </w:t>
      </w:r>
      <w:r>
        <w:rPr>
          <w:rFonts w:ascii="Times New Roman" w:hAnsi="Times New Roman"/>
          <w:sz w:val="24"/>
        </w:rPr>
        <w:t xml:space="preserve">администрации </w:t>
      </w:r>
    </w:p>
    <w:p w14:paraId="03000000">
      <w:pPr>
        <w:spacing w:after="0" w:before="0" w:line="240" w:lineRule="auto"/>
        <w:ind w:firstLine="0" w:left="1020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города </w:t>
      </w:r>
      <w:r>
        <w:rPr>
          <w:rFonts w:ascii="Times New Roman" w:hAnsi="Times New Roman"/>
          <w:sz w:val="24"/>
        </w:rPr>
        <w:t>Магнитогорска</w:t>
      </w:r>
    </w:p>
    <w:p w14:paraId="04000000">
      <w:pPr>
        <w:spacing w:after="0" w:before="0" w:line="240" w:lineRule="auto"/>
        <w:ind w:firstLine="0" w:left="1020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 </w:t>
      </w:r>
      <w:r>
        <w:rPr>
          <w:rFonts w:ascii="Times New Roman" w:hAnsi="Times New Roman"/>
          <w:sz w:val="24"/>
        </w:rPr>
        <w:t>20.02.2025 № 1541-П</w:t>
      </w:r>
    </w:p>
    <w:p w14:paraId="05000000">
      <w:pPr>
        <w:spacing w:after="0" w:before="0" w:line="240" w:lineRule="auto"/>
        <w:ind w:firstLine="0" w:left="10205"/>
        <w:rPr>
          <w:rFonts w:ascii="Times New Roman" w:hAnsi="Times New Roman"/>
          <w:sz w:val="24"/>
        </w:rPr>
      </w:pPr>
    </w:p>
    <w:p w14:paraId="06000000">
      <w:pPr>
        <w:spacing w:after="0" w:before="0" w:line="240" w:lineRule="auto"/>
        <w:ind w:firstLine="0" w:left="1020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2</w:t>
      </w:r>
    </w:p>
    <w:p w14:paraId="07000000">
      <w:pPr>
        <w:spacing w:after="0" w:before="0" w:line="240" w:lineRule="auto"/>
        <w:ind w:firstLine="0" w:left="1020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муниципальной </w:t>
      </w:r>
      <w:r>
        <w:rPr>
          <w:rFonts w:ascii="Times New Roman" w:hAnsi="Times New Roman"/>
          <w:sz w:val="24"/>
        </w:rPr>
        <w:t xml:space="preserve">программе </w:t>
      </w:r>
    </w:p>
    <w:p w14:paraId="08000000">
      <w:pPr>
        <w:spacing w:after="0" w:before="0" w:line="240" w:lineRule="auto"/>
        <w:ind w:firstLine="0" w:left="1020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 xml:space="preserve">Выполнение функций по управлению, владению, </w:t>
      </w:r>
      <w:r>
        <w:rPr>
          <w:rFonts w:ascii="Times New Roman" w:hAnsi="Times New Roman"/>
          <w:sz w:val="24"/>
        </w:rPr>
        <w:t xml:space="preserve">пользованию и распоряжению муниципальным </w:t>
      </w:r>
      <w:r>
        <w:rPr>
          <w:rFonts w:ascii="Times New Roman" w:hAnsi="Times New Roman"/>
          <w:sz w:val="24"/>
        </w:rPr>
        <w:t xml:space="preserve">имуществом в городе </w:t>
      </w:r>
    </w:p>
    <w:p w14:paraId="09000000">
      <w:pPr>
        <w:spacing w:after="0" w:before="0" w:line="240" w:lineRule="auto"/>
        <w:ind w:firstLine="0" w:left="1020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Магнитогорске</w:t>
      </w:r>
      <w:r>
        <w:rPr>
          <w:rFonts w:ascii="Times New Roman" w:hAnsi="Times New Roman"/>
          <w:sz w:val="24"/>
        </w:rPr>
        <w:t xml:space="preserve">» на </w:t>
      </w:r>
      <w:r>
        <w:rPr>
          <w:rFonts w:ascii="Times New Roman" w:hAnsi="Times New Roman"/>
          <w:sz w:val="24"/>
        </w:rPr>
        <w:t>2025 – 2030 годы</w:t>
      </w:r>
    </w:p>
    <w:p w14:paraId="0A000000">
      <w:pPr>
        <w:spacing w:after="0" w:line="240" w:lineRule="auto"/>
        <w:ind w:firstLine="0" w:left="7087"/>
        <w:jc w:val="right"/>
        <w:rPr>
          <w:rFonts w:ascii="Times New Roman" w:hAnsi="Times New Roman"/>
          <w:sz w:val="28"/>
        </w:rPr>
      </w:pPr>
    </w:p>
    <w:p w14:paraId="0B000000">
      <w:pPr>
        <w:pStyle w:val="Style_1"/>
        <w:ind/>
        <w:jc w:val="right"/>
        <w:rPr>
          <w:rFonts w:ascii="Times New Roman" w:hAnsi="Times New Roman"/>
          <w:sz w:val="28"/>
        </w:rPr>
      </w:pPr>
    </w:p>
    <w:p w14:paraId="0C000000">
      <w:pPr>
        <w:pStyle w:val="Style_1"/>
        <w:ind/>
        <w:jc w:val="both"/>
        <w:rPr>
          <w:rFonts w:ascii="Times New Roman" w:hAnsi="Times New Roman"/>
          <w:sz w:val="28"/>
        </w:rPr>
      </w:pPr>
    </w:p>
    <w:p w14:paraId="0D000000">
      <w:pPr>
        <w:pStyle w:val="Style_1"/>
        <w:ind/>
        <w:jc w:val="center"/>
        <w:rPr>
          <w:rFonts w:ascii="Times New Roman" w:hAnsi="Times New Roman"/>
          <w:sz w:val="28"/>
        </w:rPr>
      </w:pPr>
      <w:bookmarkStart w:id="1" w:name="P2307"/>
      <w:bookmarkEnd w:id="1"/>
      <w:r>
        <w:rPr>
          <w:rFonts w:ascii="Times New Roman" w:hAnsi="Times New Roman"/>
          <w:sz w:val="28"/>
        </w:rPr>
        <w:t>ПАСПОРТ</w:t>
      </w:r>
    </w:p>
    <w:p w14:paraId="0E000000">
      <w:pPr>
        <w:pStyle w:val="Style_1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Комплекс процессных мероприятий «Управление муниципальным имуществом и земельными отношениями»</w:t>
      </w:r>
    </w:p>
    <w:p w14:paraId="0F000000">
      <w:pPr>
        <w:pStyle w:val="Style_1"/>
        <w:ind/>
        <w:jc w:val="center"/>
        <w:rPr>
          <w:rFonts w:ascii="Times New Roman" w:hAnsi="Times New Roman"/>
          <w:sz w:val="28"/>
        </w:rPr>
      </w:pPr>
    </w:p>
    <w:p w14:paraId="10000000">
      <w:pPr>
        <w:pStyle w:val="Style_1"/>
        <w:ind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Основные положения</w:t>
      </w:r>
    </w:p>
    <w:p w14:paraId="11000000">
      <w:pPr>
        <w:pStyle w:val="Style_1"/>
        <w:ind/>
        <w:jc w:val="both"/>
        <w:rPr>
          <w:rFonts w:ascii="Times New Roman" w:hAnsi="Times New Roman"/>
          <w:sz w:val="28"/>
        </w:rPr>
      </w:pPr>
    </w:p>
    <w:tbl>
      <w:tblPr>
        <w:tblStyle w:val="Style_2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748"/>
        <w:gridCol w:w="5812"/>
      </w:tblGrid>
      <w:tr>
        <w:tc>
          <w:tcPr>
            <w:tcW w:type="dxa" w:w="87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00000">
            <w:pPr>
              <w:pStyle w:val="Style_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</w:tbl>
    <w:p w14:paraId="14000000">
      <w:pPr>
        <w:pStyle w:val="Style_1"/>
        <w:ind/>
        <w:jc w:val="both"/>
        <w:rPr>
          <w:rFonts w:ascii="Times New Roman" w:hAnsi="Times New Roman"/>
          <w:sz w:val="28"/>
        </w:rPr>
      </w:pPr>
    </w:p>
    <w:p w14:paraId="15000000">
      <w:pPr>
        <w:pStyle w:val="Style_1"/>
        <w:ind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Показатели комплекса процессных мероприятий</w:t>
      </w:r>
    </w:p>
    <w:p w14:paraId="16000000">
      <w:pPr>
        <w:pStyle w:val="Style_1"/>
        <w:ind/>
        <w:jc w:val="both"/>
        <w:rPr>
          <w:rFonts w:ascii="Times New Roman" w:hAnsi="Times New Roman"/>
          <w:sz w:val="28"/>
        </w:rPr>
      </w:pPr>
    </w:p>
    <w:tbl>
      <w:tblPr>
        <w:tblStyle w:val="Style_2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23"/>
        <w:gridCol w:w="3565"/>
        <w:gridCol w:w="1842"/>
        <w:gridCol w:w="3622"/>
        <w:gridCol w:w="914"/>
        <w:gridCol w:w="996"/>
        <w:gridCol w:w="780"/>
        <w:gridCol w:w="144"/>
        <w:gridCol w:w="570"/>
        <w:gridCol w:w="144"/>
        <w:gridCol w:w="626"/>
        <w:gridCol w:w="144"/>
        <w:gridCol w:w="565"/>
        <w:gridCol w:w="144"/>
      </w:tblGrid>
      <w:tr>
        <w:trPr>
          <w:trHeight w:hRule="atLeast" w:val="524"/>
        </w:trPr>
        <w:tc>
          <w:tcPr>
            <w:tcW w:type="dxa" w:w="8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00000">
            <w:pPr>
              <w:pStyle w:val="Style_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 п/п</w:t>
            </w:r>
          </w:p>
        </w:tc>
        <w:tc>
          <w:tcPr>
            <w:tcW w:type="dxa" w:w="356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00000">
            <w:pPr>
              <w:pStyle w:val="Style_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показателя</w:t>
            </w:r>
          </w:p>
        </w:tc>
        <w:tc>
          <w:tcPr>
            <w:tcW w:type="dxa" w:w="18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00000">
            <w:pPr>
              <w:pStyle w:val="Style_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Единица измерения</w:t>
            </w:r>
          </w:p>
        </w:tc>
        <w:tc>
          <w:tcPr>
            <w:tcW w:type="dxa" w:w="36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pStyle w:val="Style_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27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pStyle w:val="Style_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Значение показателя по годам</w:t>
            </w:r>
          </w:p>
        </w:tc>
      </w:tr>
      <w:tr>
        <w:trPr>
          <w:trHeight w:hRule="atLeast" w:val="500"/>
        </w:trPr>
        <w:tc>
          <w:tcPr>
            <w:tcW w:type="dxa" w:w="8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6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pStyle w:val="Style_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2025</w:t>
            </w:r>
          </w:p>
        </w:tc>
        <w:tc>
          <w:tcPr>
            <w:tcW w:type="dxa" w:w="9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pStyle w:val="Style_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2026</w:t>
            </w:r>
          </w:p>
        </w:tc>
        <w:tc>
          <w:tcPr>
            <w:tcW w:type="dxa" w:w="92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00000">
            <w:pPr>
              <w:pStyle w:val="Style_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2027</w:t>
            </w:r>
          </w:p>
        </w:tc>
        <w:tc>
          <w:tcPr>
            <w:tcW w:type="dxa" w:w="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00000">
            <w:pPr>
              <w:pStyle w:val="Style_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2028</w:t>
            </w:r>
          </w:p>
        </w:tc>
        <w:tc>
          <w:tcPr>
            <w:tcW w:type="dxa" w:w="77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00000">
            <w:pPr>
              <w:pStyle w:val="Style_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2029</w:t>
            </w:r>
          </w:p>
        </w:tc>
        <w:tc>
          <w:tcPr>
            <w:tcW w:type="dxa" w:w="70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00000">
            <w:pPr>
              <w:pStyle w:val="Style_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00000">
            <w:pPr>
              <w:pStyle w:val="Style_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3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00000">
            <w:pPr>
              <w:pStyle w:val="Style_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00000">
            <w:pPr>
              <w:pStyle w:val="Style_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3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00000">
            <w:pPr>
              <w:pStyle w:val="Style_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00000">
            <w:pPr>
              <w:pStyle w:val="Style_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type="dxa" w:w="9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00000">
            <w:pPr>
              <w:pStyle w:val="Style_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type="dxa" w:w="92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00000">
            <w:pPr>
              <w:pStyle w:val="Style_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type="dxa" w:w="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00000">
            <w:pPr>
              <w:pStyle w:val="Style_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type="dxa" w:w="77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00000">
            <w:pPr>
              <w:pStyle w:val="Style_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</w:p>
        </w:tc>
        <w:tc>
          <w:tcPr>
            <w:tcW w:type="dxa" w:w="70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00000">
            <w:pPr>
              <w:pStyle w:val="Style_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pStyle w:val="Style_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</w:t>
            </w:r>
          </w:p>
        </w:tc>
        <w:tc>
          <w:tcPr>
            <w:tcW w:type="dxa" w:w="14056"/>
            <w:gridSpan w:val="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Задача 1. Оптимизировать распоряжение муниципальным имущественным комплексом и земельными отношениями: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pStyle w:val="Style_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</w:t>
            </w:r>
          </w:p>
        </w:tc>
        <w:tc>
          <w:tcPr>
            <w:tcW w:type="dxa" w:w="3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Проведено торгов по муниципальному имуществу и земельным участкам в процентах к общему количеству запланированных торгов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00000">
            <w:pPr>
              <w:pStyle w:val="Style_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процент</w:t>
            </w:r>
          </w:p>
        </w:tc>
        <w:tc>
          <w:tcPr>
            <w:tcW w:type="dxa" w:w="3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00000">
            <w:pPr>
              <w:pStyle w:val="Style_1"/>
              <w:ind/>
              <w:jc w:val="center"/>
              <w:rPr>
                <w:rFonts w:ascii="Times New Roman" w:hAnsi="Times New Roman"/>
                <w:color w:themeColor="text1" w:val="000000"/>
                <w:sz w:val="28"/>
                <w:shd w:fill="FF70B6" w:val="clear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100</w:t>
            </w:r>
          </w:p>
          <w:p w14:paraId="32000000">
            <w:pPr>
              <w:pStyle w:val="Style_1"/>
              <w:ind/>
              <w:jc w:val="center"/>
              <w:rPr>
                <w:rFonts w:ascii="Times New Roman" w:hAnsi="Times New Roman"/>
                <w:sz w:val="28"/>
                <w:shd w:fill="FF70B6" w:val="clear"/>
              </w:rPr>
            </w:pP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00000">
            <w:pPr>
              <w:pStyle w:val="Style_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9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858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77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70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</w:tr>
      <w:tr>
        <w:tc>
          <w:tcPr>
            <w:tcW w:type="dxa" w:w="14879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Задача 2. Совершенствование системы учета использования муниципального имущества и земельных отношений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00000">
            <w:pPr>
              <w:pStyle w:val="Style_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</w:t>
            </w:r>
          </w:p>
        </w:tc>
        <w:tc>
          <w:tcPr>
            <w:tcW w:type="dxa" w:w="3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Выполнено плановых показателей по расходам на содержание муниципального имущества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00000">
            <w:pPr>
              <w:pStyle w:val="Style_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процент</w:t>
            </w:r>
          </w:p>
          <w:p w14:paraId="3D000000">
            <w:pPr>
              <w:pStyle w:val="Style_1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00000">
            <w:pPr>
              <w:pStyle w:val="Style_1"/>
              <w:ind/>
              <w:jc w:val="center"/>
              <w:rPr>
                <w:rFonts w:ascii="Times New Roman" w:hAnsi="Times New Roman"/>
                <w:color w:themeColor="text1" w:val="000000"/>
                <w:sz w:val="28"/>
                <w:shd w:fill="FF70B6" w:val="clear"/>
              </w:rPr>
            </w:pPr>
            <w:r>
              <w:rPr>
                <w:rFonts w:ascii="Times New Roman" w:hAnsi="Times New Roman"/>
                <w:sz w:val="28"/>
              </w:rPr>
              <w:t>90</w:t>
            </w: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90</w:t>
            </w:r>
          </w:p>
        </w:tc>
        <w:tc>
          <w:tcPr>
            <w:tcW w:type="dxa" w:w="9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00000">
            <w:pPr>
              <w:ind/>
              <w:jc w:val="center"/>
            </w:pPr>
            <w:r>
              <w:rPr>
                <w:rFonts w:ascii="Times New Roman" w:hAnsi="Times New Roman"/>
                <w:sz w:val="28"/>
              </w:rPr>
              <w:t>90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00000">
            <w:pPr>
              <w:ind/>
              <w:jc w:val="center"/>
            </w:pPr>
            <w:r>
              <w:rPr>
                <w:rFonts w:ascii="Times New Roman" w:hAnsi="Times New Roman"/>
                <w:sz w:val="28"/>
              </w:rPr>
              <w:t>90</w:t>
            </w:r>
          </w:p>
        </w:tc>
        <w:tc>
          <w:tcPr>
            <w:tcW w:type="dxa" w:w="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00000">
            <w:pPr>
              <w:ind/>
              <w:jc w:val="center"/>
            </w:pPr>
            <w:r>
              <w:rPr>
                <w:rFonts w:ascii="Times New Roman" w:hAnsi="Times New Roman"/>
                <w:sz w:val="28"/>
              </w:rPr>
              <w:t>90</w:t>
            </w:r>
          </w:p>
        </w:tc>
        <w:tc>
          <w:tcPr>
            <w:tcW w:type="dxa" w:w="77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ind/>
              <w:jc w:val="center"/>
            </w:pPr>
            <w:r>
              <w:rPr>
                <w:rFonts w:ascii="Times New Roman" w:hAnsi="Times New Roman"/>
                <w:sz w:val="28"/>
              </w:rPr>
              <w:t>90</w:t>
            </w:r>
          </w:p>
        </w:tc>
        <w:tc>
          <w:tcPr>
            <w:tcW w:type="dxa" w:w="70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ind/>
              <w:jc w:val="center"/>
            </w:pPr>
            <w:r>
              <w:rPr>
                <w:rFonts w:ascii="Times New Roman" w:hAnsi="Times New Roman"/>
                <w:sz w:val="28"/>
              </w:rPr>
              <w:t>90</w:t>
            </w:r>
          </w:p>
        </w:tc>
        <w:tc>
          <w:tcPr>
            <w:tcW w:type="dxa" w:w="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ind/>
              <w:jc w:val="center"/>
            </w:pPr>
          </w:p>
        </w:tc>
      </w:tr>
      <w:tr>
        <w:tc>
          <w:tcPr>
            <w:tcW w:type="dxa" w:w="14879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Задача 3.  Регистрация права муниципальной собственности на объекты, учитываемые в Реестре муниципального имущества города Магнитогорска, а также на бесхозяйные объекты и земельные участки.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pStyle w:val="Style_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</w:t>
            </w:r>
          </w:p>
        </w:tc>
        <w:tc>
          <w:tcPr>
            <w:tcW w:type="dxa" w:w="3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Проведено проверок муниципальных зданий и помещений в процентах к общему количеству запланированных проверок для контроля за использованием муниципального имущества, за исключением земельных участков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pStyle w:val="Style_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процент</w:t>
            </w:r>
          </w:p>
        </w:tc>
        <w:tc>
          <w:tcPr>
            <w:tcW w:type="dxa" w:w="3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pStyle w:val="Style_1"/>
              <w:ind/>
              <w:jc w:val="center"/>
              <w:rPr>
                <w:rFonts w:ascii="Times New Roman" w:hAnsi="Times New Roman"/>
                <w:color w:themeColor="text1" w:val="000000"/>
                <w:sz w:val="28"/>
                <w:shd w:fill="FF70B6" w:val="clear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100</w:t>
            </w:r>
          </w:p>
          <w:p w14:paraId="4B000000">
            <w:pPr>
              <w:pStyle w:val="Style_1"/>
              <w:ind/>
              <w:jc w:val="center"/>
              <w:rPr>
                <w:rFonts w:ascii="Times New Roman" w:hAnsi="Times New Roman"/>
                <w:color w:themeColor="text1" w:val="000000"/>
                <w:sz w:val="28"/>
                <w:shd w:fill="FF70B6" w:val="clear"/>
              </w:rPr>
            </w:pPr>
          </w:p>
        </w:tc>
        <w:tc>
          <w:tcPr>
            <w:tcW w:type="dxa" w:w="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9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71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77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70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00000">
            <w:pPr>
              <w:ind/>
              <w:jc w:val="center"/>
            </w:pPr>
          </w:p>
        </w:tc>
      </w:tr>
    </w:tbl>
    <w:p w14:paraId="53000000">
      <w:pPr>
        <w:pageBreakBefore w:val="1"/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План достижения показателей</w:t>
      </w:r>
    </w:p>
    <w:p w14:paraId="5400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комплекса процессных мероприятий</w:t>
      </w:r>
      <w:r>
        <w:rPr>
          <w:rFonts w:ascii="Times New Roman" w:hAnsi="Times New Roman"/>
          <w:sz w:val="28"/>
        </w:rPr>
        <w:t xml:space="preserve"> в 2025 году</w:t>
      </w:r>
    </w:p>
    <w:p w14:paraId="55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79"/>
        <w:gridCol w:w="2274"/>
        <w:gridCol w:w="1275"/>
        <w:gridCol w:w="636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987"/>
      </w:tblGrid>
      <w:tr>
        <w:trPr>
          <w:trHeight w:hRule="atLeast" w:val="773"/>
        </w:trPr>
        <w:tc>
          <w:tcPr>
            <w:tcW w:type="dxa" w:w="9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  <w:r>
              <w:rPr>
                <w:rFonts w:ascii="Times New Roman" w:hAnsi="Times New Roman"/>
                <w:sz w:val="28"/>
              </w:rPr>
              <w:t>п/п</w:t>
            </w:r>
          </w:p>
        </w:tc>
        <w:tc>
          <w:tcPr>
            <w:tcW w:type="dxa" w:w="22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Показатели </w:t>
            </w:r>
            <w:r>
              <w:rPr>
                <w:rFonts w:ascii="Times New Roman" w:hAnsi="Times New Roman"/>
                <w:sz w:val="28"/>
              </w:rPr>
              <w:t>комплекса процессных мероприятий</w:t>
            </w:r>
          </w:p>
        </w:tc>
        <w:tc>
          <w:tcPr>
            <w:tcW w:type="dxa" w:w="12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Единица измере ния</w:t>
            </w:r>
          </w:p>
        </w:tc>
        <w:tc>
          <w:tcPr>
            <w:tcW w:type="dxa" w:w="836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Плановые значения по месяцам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 конец</w:t>
            </w:r>
          </w:p>
          <w:p w14:paraId="5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2025 года</w:t>
            </w:r>
          </w:p>
        </w:tc>
      </w:tr>
      <w:tr>
        <w:tc>
          <w:tcPr>
            <w:tcW w:type="dxa" w:w="9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</w:tr>
      <w:tr>
        <w:trPr>
          <w:trHeight w:hRule="exact" w:val="283"/>
        </w:trP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6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Проведено торгов по муниципальному имуществу и земельным участкам в процентах к общему количеству запланированных торгов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процент</w:t>
            </w:r>
          </w:p>
        </w:tc>
        <w:tc>
          <w:tcPr>
            <w:tcW w:type="dxa" w:w="6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100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Выполнено плановых показателей по расходам на содержание муниципального имущества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процент</w:t>
            </w:r>
          </w:p>
        </w:tc>
        <w:tc>
          <w:tcPr>
            <w:tcW w:type="dxa" w:w="6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90</w:t>
            </w:r>
          </w:p>
        </w:tc>
      </w:tr>
      <w:tr>
        <w:tc>
          <w:tcPr>
            <w:tcW w:type="dxa" w:w="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2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Проведено проверок муниципальных зданий и помещений в процентах к общему количеству запланированных проверок для контроля за использованием муниципального имущества, за исключением земельных участков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процент</w:t>
            </w:r>
          </w:p>
        </w:tc>
        <w:tc>
          <w:tcPr>
            <w:tcW w:type="dxa" w:w="6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100</w:t>
            </w:r>
          </w:p>
        </w:tc>
      </w:tr>
    </w:tbl>
    <w:p w14:paraId="A4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br w:type="page"/>
      </w:r>
    </w:p>
    <w:p w14:paraId="A5000000">
      <w:pPr>
        <w:pStyle w:val="Style_1"/>
        <w:pageBreakBefore w:val="1"/>
        <w:ind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 Мероприятия (результаты) комплекса процессных мероприятий</w:t>
      </w:r>
    </w:p>
    <w:p w14:paraId="A6000000">
      <w:pPr>
        <w:pStyle w:val="Style_1"/>
        <w:ind/>
        <w:jc w:val="both"/>
        <w:rPr>
          <w:rFonts w:ascii="Times New Roman" w:hAnsi="Times New Roman"/>
          <w:sz w:val="28"/>
        </w:rPr>
      </w:pPr>
    </w:p>
    <w:tbl>
      <w:tblPr>
        <w:tblStyle w:val="Style_2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64"/>
        <w:gridCol w:w="3919"/>
        <w:gridCol w:w="1110"/>
        <w:gridCol w:w="1797"/>
        <w:gridCol w:w="1806"/>
        <w:gridCol w:w="839"/>
        <w:gridCol w:w="839"/>
        <w:gridCol w:w="949"/>
        <w:gridCol w:w="949"/>
        <w:gridCol w:w="949"/>
        <w:gridCol w:w="949"/>
      </w:tblGrid>
      <w:tr>
        <w:trPr>
          <w:trHeight w:hRule="atLeast" w:val="507"/>
        </w:trPr>
        <w:tc>
          <w:tcPr>
            <w:tcW w:type="dxa" w:w="4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00000">
            <w:pPr>
              <w:pStyle w:val="Style_1"/>
              <w:ind w:firstLine="0" w:left="-57" w:right="-5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 п/п</w:t>
            </w:r>
          </w:p>
        </w:tc>
        <w:tc>
          <w:tcPr>
            <w:tcW w:type="dxa" w:w="39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pStyle w:val="Style_1"/>
              <w:ind w:firstLine="0" w:left="-57" w:right="-5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мероприятия (результата)</w:t>
            </w:r>
          </w:p>
        </w:tc>
        <w:tc>
          <w:tcPr>
            <w:tcW w:type="dxa" w:w="11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00000">
            <w:pPr>
              <w:pStyle w:val="Style_1"/>
              <w:ind w:firstLine="0" w:left="-57" w:right="-5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Едини цы измерения (по ОКЕИ)</w:t>
            </w:r>
          </w:p>
        </w:tc>
        <w:tc>
          <w:tcPr>
            <w:tcW w:type="dxa" w:w="179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00000">
            <w:pPr>
              <w:pStyle w:val="Style_1"/>
              <w:ind w:firstLine="0" w:left="-57" w:right="-5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Характеристика</w:t>
            </w:r>
          </w:p>
        </w:tc>
        <w:tc>
          <w:tcPr>
            <w:tcW w:type="dxa" w:w="18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00000">
            <w:pPr>
              <w:pStyle w:val="Style_1"/>
              <w:ind w:firstLine="0" w:left="-57" w:right="-5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Базовое значение за год, предшествующий году разработки проекта муниципальной программы</w:t>
            </w:r>
            <w:r>
              <w:rPr>
                <w:rStyle w:val="Style_3_ch"/>
                <w:rFonts w:ascii="Times New Roman" w:hAnsi="Times New Roman"/>
                <w:sz w:val="28"/>
              </w:rPr>
              <w:footnoteReference w:id="1"/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type="dxa" w:w="547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00000">
            <w:pPr>
              <w:pStyle w:val="Style_1"/>
              <w:ind w:firstLine="0" w:left="-57" w:right="-5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Значение показателя по годам</w:t>
            </w:r>
          </w:p>
        </w:tc>
      </w:tr>
      <w:tr>
        <w:tc>
          <w:tcPr>
            <w:tcW w:type="dxa" w:w="4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9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9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00000">
            <w:pPr>
              <w:pStyle w:val="Style_1"/>
              <w:ind w:firstLine="0" w:left="-57" w:right="-5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2025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00000">
            <w:pPr>
              <w:pStyle w:val="Style_1"/>
              <w:ind w:firstLine="0" w:left="-57" w:right="-5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2026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00000">
            <w:pPr>
              <w:pStyle w:val="Style_1"/>
              <w:ind w:firstLine="0" w:left="-57" w:right="-5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2027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00000">
            <w:pPr>
              <w:pStyle w:val="Style_1"/>
              <w:ind w:firstLine="0" w:left="-57" w:right="-5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2028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00000">
            <w:pPr>
              <w:pStyle w:val="Style_1"/>
              <w:ind w:firstLine="0" w:left="-57" w:right="-5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2029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00000">
            <w:pPr>
              <w:pStyle w:val="Style_1"/>
              <w:ind w:firstLine="0" w:left="-57" w:right="-5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00000">
            <w:pPr>
              <w:pStyle w:val="Style_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39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00000">
            <w:pPr>
              <w:pStyle w:val="Style_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00000">
            <w:pPr>
              <w:pStyle w:val="Style_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type="dxa" w:w="1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00000">
            <w:pPr>
              <w:pStyle w:val="Style_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type="dxa" w:w="18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00000">
            <w:pPr>
              <w:pStyle w:val="Style_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00000">
            <w:pPr>
              <w:pStyle w:val="Style_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00000">
            <w:pPr>
              <w:pStyle w:val="Style_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00000">
            <w:pPr>
              <w:pStyle w:val="Style_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00000">
            <w:pPr>
              <w:pStyle w:val="Style_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00000">
            <w:pPr>
              <w:pStyle w:val="Style_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00000">
            <w:pPr>
              <w:pStyle w:val="Style_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</w:tr>
      <w:tr>
        <w:tc>
          <w:tcPr>
            <w:tcW w:type="dxa" w:w="1457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Задача 1. Оптимизировать распоряжение муниципальным имущественным комплексом и земельными отношениями:</w:t>
            </w:r>
          </w:p>
        </w:tc>
      </w:tr>
      <w:tr>
        <w:tc>
          <w:tcPr>
            <w:tcW w:type="dxa" w:w="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00000">
            <w:pPr>
              <w:pStyle w:val="Style_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1.1</w:t>
            </w:r>
          </w:p>
        </w:tc>
        <w:tc>
          <w:tcPr>
            <w:tcW w:type="dxa" w:w="39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Проведены технические инвентаризации муниципального имущества и торги по муниципальному имуществу и земельным участкам </w:t>
            </w:r>
            <w:r>
              <w:rPr>
                <w:rStyle w:val="Style_3_ch"/>
                <w:rFonts w:ascii="Times New Roman" w:hAnsi="Times New Roman"/>
                <w:sz w:val="28"/>
              </w:rPr>
              <w:footnoteReference w:id="2"/>
            </w:r>
            <w:r>
              <w:rPr>
                <w:rFonts w:ascii="Times New Roman" w:hAnsi="Times New Roman"/>
                <w:sz w:val="28"/>
              </w:rPr>
              <w:br/>
            </w:r>
          </w:p>
          <w:p w14:paraId="C100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00000">
            <w:pPr>
              <w:pStyle w:val="Style_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единиц</w:t>
            </w:r>
          </w:p>
        </w:tc>
        <w:tc>
          <w:tcPr>
            <w:tcW w:type="dxa" w:w="1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00000">
            <w:pPr>
              <w:pStyle w:val="Style_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Проведено торгов, техническая инвентаризация объектов нежилого фонда, проверок</w:t>
            </w:r>
          </w:p>
        </w:tc>
        <w:tc>
          <w:tcPr>
            <w:tcW w:type="dxa" w:w="18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00000">
            <w:pPr>
              <w:pStyle w:val="Style_1"/>
              <w:ind/>
              <w:jc w:val="center"/>
              <w:rPr>
                <w:rFonts w:ascii="Times New Roman" w:hAnsi="Times New Roman"/>
                <w:color w:themeColor="text1" w:val="000000"/>
                <w:sz w:val="28"/>
                <w:shd w:fill="FF70B6" w:val="clear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200</w:t>
            </w:r>
          </w:p>
          <w:p w14:paraId="C5000000">
            <w:pPr>
              <w:ind/>
              <w:jc w:val="center"/>
              <w:rPr>
                <w:rFonts w:ascii="Times New Roman" w:hAnsi="Times New Roman"/>
                <w:color w:val="ED7D31"/>
                <w:sz w:val="28"/>
              </w:rPr>
            </w:pP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00000">
            <w:pPr>
              <w:ind/>
              <w:jc w:val="center"/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155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00000">
            <w:pPr>
              <w:ind/>
              <w:jc w:val="center"/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155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00000">
            <w:pPr>
              <w:ind/>
              <w:jc w:val="center"/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155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00000">
            <w:pPr>
              <w:ind/>
              <w:jc w:val="center"/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155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00000">
            <w:pPr>
              <w:ind/>
              <w:jc w:val="center"/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155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00000">
            <w:pPr>
              <w:ind/>
              <w:jc w:val="center"/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155</w:t>
            </w:r>
          </w:p>
        </w:tc>
      </w:tr>
      <w:tr>
        <w:trPr>
          <w:trHeight w:hRule="atLeast" w:val="727"/>
        </w:trPr>
        <w:tc>
          <w:tcPr>
            <w:tcW w:type="dxa" w:w="1457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Задача 2. Совершенствование системы учета использования муниципального имущества и земельных отношений</w:t>
            </w:r>
          </w:p>
        </w:tc>
      </w:tr>
      <w:tr>
        <w:tc>
          <w:tcPr>
            <w:tcW w:type="dxa" w:w="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00000">
            <w:pPr>
              <w:pStyle w:val="Style_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2.1</w:t>
            </w:r>
          </w:p>
        </w:tc>
        <w:tc>
          <w:tcPr>
            <w:tcW w:type="dxa" w:w="39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Обеспечена  деятельность по совершенствованию учета и контролю за использованием муниципального имущества и земельными отношениями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00000">
            <w:pPr>
              <w:pStyle w:val="Style_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процент</w:t>
            </w:r>
          </w:p>
          <w:p w14:paraId="D0000000">
            <w:pPr>
              <w:pStyle w:val="Style_1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00000">
            <w:pPr>
              <w:pStyle w:val="Style_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Обеспечение деятельности Комитета по управлению имуществом м земельными отношениями администрации города Магнитогорска</w:t>
            </w:r>
          </w:p>
        </w:tc>
        <w:tc>
          <w:tcPr>
            <w:tcW w:type="dxa" w:w="18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00000">
            <w:pPr>
              <w:pStyle w:val="Style_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90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00000">
            <w:pPr>
              <w:pStyle w:val="Style_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90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90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90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90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90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90</w:t>
            </w:r>
          </w:p>
        </w:tc>
      </w:tr>
      <w:tr>
        <w:tc>
          <w:tcPr>
            <w:tcW w:type="dxa" w:w="1457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Задача 3.  Регистрация права муниципальной собственности на объекты, учитываемые в реестре муниципального имущества города Магнитогорска, а также на бесхозяйные объекты и земельные участки.</w:t>
            </w:r>
          </w:p>
        </w:tc>
      </w:tr>
      <w:tr>
        <w:tc>
          <w:tcPr>
            <w:tcW w:type="dxa" w:w="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00000">
            <w:pPr>
              <w:pStyle w:val="Style_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3.1</w:t>
            </w:r>
          </w:p>
        </w:tc>
        <w:tc>
          <w:tcPr>
            <w:tcW w:type="dxa" w:w="39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Проведена регистрация объектов, учитываемых в реестре</w:t>
            </w:r>
          </w:p>
          <w:p w14:paraId="DC000000">
            <w:pPr>
              <w:rPr>
                <w:rFonts w:ascii="Times New Roman" w:hAnsi="Times New Roman"/>
                <w:color w:val="FF0000"/>
                <w:sz w:val="28"/>
                <w:u w:val="single"/>
              </w:rPr>
            </w:pPr>
          </w:p>
          <w:p w14:paraId="DD00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00000">
            <w:pPr>
              <w:pStyle w:val="Style_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единиц</w:t>
            </w:r>
          </w:p>
        </w:tc>
        <w:tc>
          <w:tcPr>
            <w:tcW w:type="dxa" w:w="1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00000">
            <w:pPr>
              <w:pStyle w:val="Style_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Зарегистрированы объекты, учитываемые в реестре</w:t>
            </w:r>
          </w:p>
        </w:tc>
        <w:tc>
          <w:tcPr>
            <w:tcW w:type="dxa" w:w="18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00000">
            <w:pPr>
              <w:pStyle w:val="Style_1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400</w:t>
            </w:r>
          </w:p>
          <w:p w14:paraId="E1000000">
            <w:pPr>
              <w:pStyle w:val="Style_1"/>
              <w:ind/>
              <w:jc w:val="center"/>
              <w:rPr>
                <w:rFonts w:ascii="Times New Roman" w:hAnsi="Times New Roman"/>
                <w:sz w:val="28"/>
                <w:highlight w:val="green"/>
              </w:rPr>
            </w:pP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00000">
            <w:pPr>
              <w:ind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500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00000">
            <w:pPr>
              <w:ind/>
              <w:jc w:val="center"/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400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00000">
            <w:pPr>
              <w:ind/>
              <w:jc w:val="center"/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400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00000">
            <w:pPr>
              <w:ind/>
              <w:jc w:val="center"/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400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00000">
            <w:pPr>
              <w:ind/>
              <w:jc w:val="center"/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400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00000">
            <w:pPr>
              <w:ind/>
              <w:jc w:val="center"/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400</w:t>
            </w:r>
          </w:p>
        </w:tc>
      </w:tr>
    </w:tbl>
    <w:p w14:paraId="E8000000">
      <w:pPr>
        <w:pStyle w:val="Style_1"/>
        <w:pageBreakBefore w:val="1"/>
        <w:ind/>
        <w:jc w:val="center"/>
        <w:outlineLvl w:val="1"/>
        <w:rPr>
          <w:rFonts w:ascii="Times New Roman" w:hAnsi="Times New Roman"/>
          <w:sz w:val="28"/>
        </w:rPr>
      </w:pPr>
      <w:bookmarkStart w:id="2" w:name="P2436"/>
      <w:bookmarkEnd w:id="2"/>
      <w:r>
        <w:br w:type="page"/>
      </w:r>
    </w:p>
    <w:p w14:paraId="E9000000">
      <w:pPr>
        <w:pStyle w:val="Style_1"/>
        <w:pageBreakBefore w:val="1"/>
        <w:ind/>
        <w:jc w:val="center"/>
        <w:outlineLvl w:val="1"/>
        <w:rPr>
          <w:rFonts w:ascii="Times New Roman" w:hAnsi="Times New Roman"/>
          <w:sz w:val="28"/>
        </w:rPr>
      </w:pPr>
    </w:p>
    <w:p w14:paraId="EA000000">
      <w:pPr>
        <w:pStyle w:val="Style_1"/>
        <w:pageBreakBefore w:val="1"/>
        <w:ind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. Финансовое обеспечение комплекса процессных мероприятий</w:t>
      </w:r>
    </w:p>
    <w:p w14:paraId="EB000000">
      <w:pPr>
        <w:pStyle w:val="Style_1"/>
        <w:ind/>
        <w:jc w:val="center"/>
        <w:rPr>
          <w:rFonts w:ascii="Times New Roman" w:hAnsi="Times New Roman"/>
          <w:sz w:val="28"/>
        </w:rPr>
      </w:pPr>
    </w:p>
    <w:tbl>
      <w:tblPr>
        <w:tblStyle w:val="Style_4"/>
        <w:tblW w:type="auto" w:w="0"/>
        <w:jc w:val="left"/>
        <w:tblInd w:type="dxa" w:w="0"/>
        <w:tblLayout w:type="fixed"/>
      </w:tblPr>
      <w:tblGrid>
        <w:gridCol w:w="3964"/>
        <w:gridCol w:w="1560"/>
        <w:gridCol w:w="1701"/>
        <w:gridCol w:w="1559"/>
        <w:gridCol w:w="1559"/>
        <w:gridCol w:w="1559"/>
        <w:gridCol w:w="1701"/>
        <w:gridCol w:w="1560"/>
      </w:tblGrid>
      <w:tr>
        <w:tc>
          <w:tcPr>
            <w:tcW w:type="dxa" w:w="39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00000">
            <w:pPr>
              <w:widowControl w:val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Источник финансового обеспечения</w:t>
            </w:r>
          </w:p>
        </w:tc>
        <w:tc>
          <w:tcPr>
            <w:tcW w:type="dxa" w:w="11199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0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9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E00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2025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F00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000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2027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100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2028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200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2029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300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2030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0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Всего</w:t>
            </w:r>
          </w:p>
        </w:tc>
      </w:tr>
      <w:tr>
        <w:trPr>
          <w:trHeight w:hRule="exact" w:val="283"/>
        </w:trPr>
        <w:tc>
          <w:tcPr>
            <w:tcW w:type="dxa" w:w="3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F500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F600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F700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F800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F900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FA00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FB00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FC00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</w:tr>
      <w:tr>
        <w:tc>
          <w:tcPr>
            <w:tcW w:type="dxa" w:w="3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00000">
            <w:pPr>
              <w:widowControl w:val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8"/>
              </w:rPr>
              <w:t>т.ч</w:t>
            </w:r>
            <w:r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183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384,24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135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983,2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137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558,4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142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097,9</w:t>
            </w: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146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645,03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151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630,95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897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299,84</w:t>
            </w:r>
          </w:p>
        </w:tc>
      </w:tr>
      <w:tr>
        <w:tc>
          <w:tcPr>
            <w:tcW w:type="dxa" w:w="3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10000">
            <w:pPr>
              <w:widowControl w:val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Федеральный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</w:tr>
      <w:tr>
        <w:tc>
          <w:tcPr>
            <w:tcW w:type="dxa" w:w="3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10000">
            <w:pPr>
              <w:widowControl w:val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Областной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</w:tr>
      <w:tr>
        <w:tc>
          <w:tcPr>
            <w:tcW w:type="dxa" w:w="3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10000">
            <w:pPr>
              <w:widowControl w:val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Местный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183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384,24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135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983,2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137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558,4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142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097,9</w:t>
            </w: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146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645,03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</w:t>
            </w:r>
            <w:bookmarkStart w:id="3" w:name="_GoBack"/>
            <w:bookmarkEnd w:id="3"/>
            <w:r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630,95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897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299,8</w:t>
            </w:r>
            <w:r>
              <w:rPr>
                <w:rFonts w:ascii="Times New Roman" w:hAnsi="Times New Roman"/>
                <w:sz w:val="28"/>
              </w:rPr>
              <w:t>4</w:t>
            </w:r>
          </w:p>
        </w:tc>
      </w:tr>
      <w:tr>
        <w:tc>
          <w:tcPr>
            <w:tcW w:type="dxa" w:w="3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10000">
            <w:pPr>
              <w:widowControl w:val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Иные источники 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10000">
            <w:pPr>
              <w:widowControl w:val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</w:tr>
    </w:tbl>
    <w:p w14:paraId="2501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8"/>
        </w:rPr>
      </w:pPr>
    </w:p>
    <w:p w14:paraId="2601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8"/>
        </w:rPr>
      </w:pPr>
    </w:p>
    <w:p w14:paraId="2701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8"/>
        </w:rPr>
      </w:pPr>
    </w:p>
    <w:p w14:paraId="2801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8"/>
        </w:rPr>
      </w:pPr>
    </w:p>
    <w:p w14:paraId="2901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8"/>
        </w:rPr>
      </w:pPr>
    </w:p>
    <w:p w14:paraId="2A01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8"/>
        </w:rPr>
      </w:pPr>
    </w:p>
    <w:p w14:paraId="2B01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8"/>
        </w:rPr>
      </w:pPr>
    </w:p>
    <w:p w14:paraId="2C01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8"/>
        </w:rPr>
      </w:pPr>
    </w:p>
    <w:p w14:paraId="2D01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8"/>
        </w:rPr>
      </w:pPr>
    </w:p>
    <w:p w14:paraId="2E01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8"/>
        </w:rPr>
      </w:pPr>
    </w:p>
    <w:p w14:paraId="2F01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8"/>
        </w:rPr>
      </w:pPr>
      <w:r>
        <w:br w:type="page"/>
      </w:r>
    </w:p>
    <w:p w14:paraId="3001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26282F"/>
          <w:sz w:val="28"/>
        </w:rPr>
        <w:t>6</w:t>
      </w:r>
      <w:r>
        <w:rPr>
          <w:rFonts w:ascii="Times New Roman" w:hAnsi="Times New Roman"/>
          <w:color w:val="26282F"/>
          <w:sz w:val="28"/>
        </w:rPr>
        <w:t>. План по реализации комплекса процессных мероприятий</w:t>
      </w:r>
    </w:p>
    <w:p w14:paraId="3101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26282F"/>
          <w:sz w:val="28"/>
        </w:rPr>
        <w:t>в</w:t>
      </w:r>
      <w:r>
        <w:rPr>
          <w:rFonts w:ascii="Times New Roman" w:hAnsi="Times New Roman"/>
          <w:sz w:val="28"/>
        </w:rPr>
        <w:t xml:space="preserve"> 2025 году</w:t>
      </w:r>
    </w:p>
    <w:p w14:paraId="3201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</w:p>
    <w:tbl>
      <w:tblPr>
        <w:tblStyle w:val="Style_2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0"/>
        <w:gridCol w:w="4974"/>
        <w:gridCol w:w="2035"/>
        <w:gridCol w:w="3055"/>
        <w:gridCol w:w="3646"/>
      </w:tblGrid>
      <w:tr>
        <w:trPr>
          <w:trHeight w:hRule="atLeast" w:val="549"/>
        </w:trPr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  <w:p w14:paraId="3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п/п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Тип мероприятия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Дата наступления контрольной точки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Вид подтверждающего документа </w:t>
            </w:r>
          </w:p>
        </w:tc>
      </w:tr>
      <w:tr>
        <w:trPr>
          <w:trHeight w:hRule="exact" w:val="283"/>
        </w:trPr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</w:tr>
      <w:tr>
        <w:tc>
          <w:tcPr>
            <w:tcW w:type="dxa" w:w="1453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Задача 1. Оптимизировать распоряжение муниципальным имущественным комплексом и земельными отношениями:</w:t>
            </w:r>
          </w:p>
        </w:tc>
      </w:tr>
      <w:tr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Техническая инвентаризация муниципального имущества, проведение торгов по муниципальному имуществу и земельным участкам 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487"/>
        </w:trPr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контрольная точка 1.1 Инвентаризация проведена 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31.03.2025</w:t>
            </w:r>
          </w:p>
          <w:p w14:paraId="4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30.06.2025</w:t>
            </w:r>
          </w:p>
          <w:p w14:paraId="4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30.09.2025</w:t>
            </w:r>
          </w:p>
          <w:p w14:paraId="4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31.12.2025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Технический план/акт обследования </w:t>
            </w:r>
          </w:p>
        </w:tc>
      </w:tr>
      <w:tr>
        <w:tc>
          <w:tcPr>
            <w:tcW w:type="dxa" w:w="1453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Задача 2. Совершенствование системы учета использования муниципального имущества и земельных отношений</w:t>
            </w:r>
          </w:p>
        </w:tc>
      </w:tr>
      <w:tr>
        <w:tc>
          <w:tcPr>
            <w:tcW w:type="dxa" w:w="82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Обеспечение деятельности по совершенствованию учета и контроля за использованием муниципального имущества и земельными отношениями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10000">
            <w:pPr>
              <w:widowControl w:val="0"/>
              <w:spacing w:after="0" w:line="240" w:lineRule="auto"/>
              <w:ind/>
              <w:jc w:val="center"/>
              <w:rPr>
                <w:b w:val="1"/>
              </w:rPr>
            </w:pPr>
          </w:p>
        </w:tc>
      </w:tr>
      <w:tr>
        <w:tc>
          <w:tcPr>
            <w:tcW w:type="dxa" w:w="82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контрольная точка 2.1 Формирование заявок на оплату расходов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31.03.2025</w:t>
            </w:r>
          </w:p>
          <w:p w14:paraId="5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30.06.2025</w:t>
            </w:r>
          </w:p>
          <w:p w14:paraId="5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30.09.2025</w:t>
            </w:r>
          </w:p>
          <w:p w14:paraId="5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31.12.2025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10000">
            <w:pPr>
              <w:widowControl w:val="0"/>
              <w:spacing w:after="0" w:line="240" w:lineRule="auto"/>
              <w:ind/>
              <w:jc w:val="center"/>
              <w:rPr>
                <w:b w:val="1"/>
              </w:rPr>
            </w:pPr>
            <w:r>
              <w:rPr>
                <w:rFonts w:ascii="Times New Roman" w:hAnsi="Times New Roman"/>
                <w:sz w:val="28"/>
              </w:rPr>
              <w:t>Платежные поручения</w:t>
            </w:r>
          </w:p>
        </w:tc>
      </w:tr>
      <w:tr>
        <w:tc>
          <w:tcPr>
            <w:tcW w:type="dxa" w:w="1453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Задача 3.  Регистрация права муниципальной собственности на объекты, учитываемые в реестре муниципального имущества города Магнитогорска, а также на бесхозяйные объекты и земельные участки.</w:t>
            </w:r>
          </w:p>
        </w:tc>
      </w:tr>
      <w:tr>
        <w:trPr>
          <w:trHeight w:hRule="atLeast" w:val="200"/>
        </w:trPr>
        <w:tc>
          <w:tcPr>
            <w:tcW w:type="dxa" w:w="82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3.1</w:t>
            </w:r>
          </w:p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Регистрация объектов, учитываемых в реестре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Иные типы</w:t>
            </w: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82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контрольная точка 3.1 Регистрация права собственности</w:t>
            </w:r>
          </w:p>
          <w:p w14:paraId="6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0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31.03.2025</w:t>
            </w:r>
          </w:p>
          <w:p w14:paraId="6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30.06.2025</w:t>
            </w:r>
          </w:p>
          <w:p w14:paraId="6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30.09.2025</w:t>
            </w:r>
          </w:p>
          <w:p w14:paraId="6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31.12.2025</w:t>
            </w:r>
          </w:p>
        </w:tc>
        <w:tc>
          <w:tcPr>
            <w:tcW w:type="dxa" w:w="3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Выписка из реестра муниципального имущества</w:t>
            </w:r>
          </w:p>
        </w:tc>
      </w:tr>
    </w:tbl>
    <w:p w14:paraId="67010000">
      <w:pPr>
        <w:widowControl w:val="0"/>
        <w:spacing w:after="0" w:line="240" w:lineRule="auto"/>
        <w:ind/>
        <w:rPr>
          <w:rFonts w:ascii="Times New Roman" w:hAnsi="Times New Roman"/>
          <w:sz w:val="28"/>
        </w:rPr>
      </w:pPr>
    </w:p>
    <w:p w14:paraId="68010000">
      <w:pPr>
        <w:ind/>
        <w:jc w:val="both"/>
        <w:rPr>
          <w:rFonts w:ascii="Times New Roman" w:hAnsi="Times New Roman"/>
          <w:sz w:val="28"/>
        </w:rPr>
      </w:pPr>
      <w:bookmarkStart w:id="4" w:name="P804"/>
      <w:bookmarkEnd w:id="4"/>
    </w:p>
    <w:p w14:paraId="69010000">
      <w:pPr>
        <w:ind/>
        <w:jc w:val="both"/>
        <w:rPr>
          <w:rFonts w:ascii="Times New Roman" w:hAnsi="Times New Roman"/>
          <w:sz w:val="28"/>
        </w:rPr>
      </w:pPr>
    </w:p>
    <w:p w14:paraId="6A010000">
      <w:pPr>
        <w:ind/>
        <w:jc w:val="both"/>
        <w:rPr>
          <w:rFonts w:ascii="Times New Roman" w:hAnsi="Times New Roman"/>
          <w:sz w:val="28"/>
        </w:rPr>
      </w:pPr>
    </w:p>
    <w:p w14:paraId="6B010000">
      <w:pPr>
        <w:widowControl w:val="0"/>
        <w:spacing w:after="0" w:line="240" w:lineRule="auto"/>
        <w:ind/>
        <w:rPr>
          <w:rFonts w:ascii="Times New Roman" w:hAnsi="Times New Roman"/>
          <w:sz w:val="28"/>
        </w:rPr>
      </w:pPr>
    </w:p>
    <w:sectPr>
      <w:pgSz w:h="11906" w:orient="landscape" w:w="16838"/>
      <w:pgMar w:bottom="850" w:footer="708" w:gutter="0" w:header="708" w:left="1134" w:right="1134" w:top="1134"/>
    </w:sectPr>
  </w:body>
</w:document>
</file>

<file path=word/endnotes.xml><?xml version="1.0" encoding="utf-8"?>
<w:endnot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<w:endnote w:id="-1" w:type="separator">
    <w:p>
      <w:r>
        <w:separator/>
      </w:r>
    </w:p>
  </w:endnote>
  <w:endnote w:id="0" w:type="continuationSeparator">
    <w:p>
      <w:r>
        <w:continuationSeparator/>
      </w:r>
    </w:p>
  </w:endnote>
</w:endnotes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notes.xml><?xml version="1.0" encoding="utf-8"?>
<w:footnot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footnote w:id="-1" w:type="separator">
    <w:p>
      <w:r>
        <w:separator/>
      </w:r>
    </w:p>
  </w:footnote>
  <w:footnote w:id="0" w:type="continuationSeparator">
    <w:p>
      <w:r>
        <w:continuationSeparator/>
      </w:r>
    </w:p>
  </w:footnote>
  <w:footnote w:id="1">
    <w:p w14:paraId="6C010000">
      <w:pPr>
        <w:pStyle w:val="Style_26"/>
      </w:pPr>
      <w:r>
        <w:rPr>
          <w:vertAlign w:val="superscript"/>
        </w:rPr>
        <w:footnoteRef/>
      </w:r>
      <w:r>
        <w:t xml:space="preserve"> Значения 2023 года</w:t>
      </w:r>
    </w:p>
  </w:footnote>
  <w:footnote w:id="2">
    <w:p w14:paraId="6D010000">
      <w:pPr>
        <w:pStyle w:val="Style_26"/>
      </w:pPr>
      <w:r>
        <w:rPr>
          <w:vertAlign w:val="superscript"/>
        </w:rPr>
        <w:footnoteRef/>
      </w:r>
      <w:r>
        <w:t xml:space="preserve"> План на год </w:t>
      </w:r>
      <w:r>
        <w:t>155  штук</w:t>
      </w:r>
      <w:r>
        <w:t xml:space="preserve"> из них: </w:t>
      </w:r>
    </w:p>
    <w:p w14:paraId="6E010000">
      <w:pPr>
        <w:pStyle w:val="Style_26"/>
      </w:pPr>
      <w:r>
        <w:t>- техническая инвентаризация муниципального имущества – 25</w:t>
      </w:r>
    </w:p>
    <w:p w14:paraId="6F010000">
      <w:pPr>
        <w:pStyle w:val="Style_26"/>
      </w:pPr>
      <w:r>
        <w:t>- проведение торгов по муниципальному имуществу – 90</w:t>
      </w:r>
    </w:p>
    <w:p w14:paraId="70010000">
      <w:pPr>
        <w:pStyle w:val="Style_26"/>
      </w:pPr>
      <w:r>
        <w:t>- проведение торгов по земельным участкам – 40</w:t>
      </w:r>
    </w:p>
    <w:p w14:paraId="71010000">
      <w:pPr>
        <w:pStyle w:val="Style_26"/>
      </w:pPr>
    </w:p>
  </w:footnote>
</w:footnote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200" w:line="276" w:lineRule="auto"/>
      <w:ind/>
    </w:pPr>
  </w:style>
  <w:style w:default="1" w:styleId="Style_5_ch" w:type="character">
    <w:name w:val="Normal"/>
    <w:link w:val="Style_5"/>
  </w:style>
  <w:style w:styleId="Style_6" w:type="paragraph">
    <w:name w:val="toc 2"/>
    <w:next w:val="Style_5"/>
    <w:link w:val="Style_6_ch"/>
    <w:uiPriority w:val="39"/>
    <w:pPr>
      <w:ind w:firstLine="0"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Гиперссылка1"/>
    <w:link w:val="Style_7_ch"/>
    <w:rPr>
      <w:color w:val="0000FF"/>
      <w:u w:val="single"/>
    </w:rPr>
  </w:style>
  <w:style w:styleId="Style_7_ch" w:type="character">
    <w:name w:val="Гиперссылка1"/>
    <w:link w:val="Style_7"/>
    <w:rPr>
      <w:color w:val="0000FF"/>
      <w:u w:val="single"/>
    </w:rPr>
  </w:style>
  <w:style w:styleId="Style_8" w:type="paragraph">
    <w:name w:val="Гиперссылка1"/>
    <w:link w:val="Style_8_ch"/>
    <w:rPr>
      <w:color w:val="0000FF"/>
      <w:u w:val="single"/>
    </w:rPr>
  </w:style>
  <w:style w:styleId="Style_8_ch" w:type="character">
    <w:name w:val="Гиперссылка1"/>
    <w:link w:val="Style_8"/>
    <w:rPr>
      <w:color w:val="0000FF"/>
      <w:u w:val="single"/>
    </w:rPr>
  </w:style>
  <w:style w:styleId="Style_9" w:type="paragraph">
    <w:name w:val="toc 4"/>
    <w:next w:val="Style_5"/>
    <w:link w:val="Style_9_ch"/>
    <w:uiPriority w:val="39"/>
    <w:pPr>
      <w:ind w:firstLine="0" w:left="600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5"/>
    <w:link w:val="Style_10_ch"/>
    <w:uiPriority w:val="39"/>
    <w:pPr>
      <w:ind w:firstLine="0" w:left="1000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5"/>
    <w:link w:val="Style_11_ch"/>
    <w:uiPriority w:val="39"/>
    <w:pPr>
      <w:ind w:firstLine="0" w:left="1200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Balloon Text"/>
    <w:basedOn w:val="Style_5"/>
    <w:link w:val="Style_12_ch"/>
    <w:pPr>
      <w:spacing w:after="0" w:line="240" w:lineRule="auto"/>
      <w:ind/>
    </w:pPr>
    <w:rPr>
      <w:rFonts w:ascii="Segoe UI" w:hAnsi="Segoe UI"/>
      <w:sz w:val="18"/>
    </w:rPr>
  </w:style>
  <w:style w:styleId="Style_12_ch" w:type="character">
    <w:name w:val="Balloon Text"/>
    <w:basedOn w:val="Style_5_ch"/>
    <w:link w:val="Style_12"/>
    <w:rPr>
      <w:rFonts w:ascii="Segoe UI" w:hAnsi="Segoe UI"/>
      <w:sz w:val="18"/>
    </w:rPr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</w:rPr>
  </w:style>
  <w:style w:styleId="Style_13_ch" w:type="character">
    <w:name w:val="Endnote"/>
    <w:link w:val="Style_13"/>
    <w:rPr>
      <w:rFonts w:ascii="XO Thames" w:hAnsi="XO Thames"/>
    </w:rPr>
  </w:style>
  <w:style w:styleId="Style_14" w:type="paragraph">
    <w:name w:val="heading 3"/>
    <w:next w:val="Style_5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Обычный1"/>
    <w:link w:val="Style_15_ch"/>
  </w:style>
  <w:style w:styleId="Style_15_ch" w:type="character">
    <w:name w:val="Обычный1"/>
    <w:link w:val="Style_15"/>
  </w:style>
  <w:style w:styleId="Style_16" w:type="paragraph">
    <w:name w:val="Обычный1"/>
    <w:link w:val="Style_16_ch"/>
  </w:style>
  <w:style w:styleId="Style_16_ch" w:type="character">
    <w:name w:val="Обычный1"/>
    <w:link w:val="Style_16"/>
  </w:style>
  <w:style w:styleId="Style_17" w:type="paragraph">
    <w:name w:val="Основной шрифт абзаца3"/>
    <w:link w:val="Style_17_ch"/>
  </w:style>
  <w:style w:styleId="Style_17_ch" w:type="character">
    <w:name w:val="Основной шрифт абзаца3"/>
    <w:link w:val="Style_17"/>
  </w:style>
  <w:style w:styleId="Style_3" w:type="paragraph">
    <w:name w:val="Знак сноски1"/>
    <w:basedOn w:val="Style_18"/>
    <w:link w:val="Style_3_ch"/>
    <w:rPr>
      <w:vertAlign w:val="superscript"/>
    </w:rPr>
  </w:style>
  <w:style w:styleId="Style_3_ch" w:type="character">
    <w:name w:val="Знак сноски1"/>
    <w:basedOn w:val="Style_18_ch"/>
    <w:link w:val="Style_3"/>
    <w:rPr>
      <w:vertAlign w:val="superscript"/>
    </w:rPr>
  </w:style>
  <w:style w:styleId="Style_19" w:type="paragraph">
    <w:name w:val="Основной шрифт абзаца2"/>
    <w:link w:val="Style_19_ch"/>
  </w:style>
  <w:style w:styleId="Style_19_ch" w:type="character">
    <w:name w:val="Основной шрифт абзаца2"/>
    <w:link w:val="Style_19"/>
  </w:style>
  <w:style w:styleId="Style_20" w:type="paragraph">
    <w:name w:val="Обычный1"/>
    <w:link w:val="Style_20_ch"/>
  </w:style>
  <w:style w:styleId="Style_20_ch" w:type="character">
    <w:name w:val="Обычный1"/>
    <w:link w:val="Style_20"/>
  </w:style>
  <w:style w:styleId="Style_21" w:type="paragraph">
    <w:name w:val="toc 3"/>
    <w:next w:val="Style_5"/>
    <w:link w:val="Style_21_ch"/>
    <w:uiPriority w:val="39"/>
    <w:pPr>
      <w:ind w:firstLine="0" w:left="400"/>
    </w:pPr>
    <w:rPr>
      <w:rFonts w:ascii="XO Thames" w:hAnsi="XO Thames"/>
      <w:sz w:val="28"/>
    </w:rPr>
  </w:style>
  <w:style w:styleId="Style_21_ch" w:type="character">
    <w:name w:val="toc 3"/>
    <w:link w:val="Style_21"/>
    <w:rPr>
      <w:rFonts w:ascii="XO Thames" w:hAnsi="XO Thames"/>
      <w:sz w:val="28"/>
    </w:rPr>
  </w:style>
  <w:style w:styleId="Style_22" w:type="paragraph">
    <w:name w:val="heading 5"/>
    <w:next w:val="Style_5"/>
    <w:link w:val="Style_2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2_ch" w:type="character">
    <w:name w:val="heading 5"/>
    <w:link w:val="Style_22"/>
    <w:rPr>
      <w:rFonts w:ascii="XO Thames" w:hAnsi="XO Thames"/>
      <w:b w:val="1"/>
    </w:rPr>
  </w:style>
  <w:style w:styleId="Style_23" w:type="paragraph">
    <w:name w:val="Гиперссылка2"/>
    <w:link w:val="Style_23_ch"/>
    <w:rPr>
      <w:color w:val="0000FF"/>
      <w:u w:val="single"/>
    </w:rPr>
  </w:style>
  <w:style w:styleId="Style_23_ch" w:type="character">
    <w:name w:val="Гиперссылка2"/>
    <w:link w:val="Style_23"/>
    <w:rPr>
      <w:color w:val="0000FF"/>
      <w:u w:val="single"/>
    </w:rPr>
  </w:style>
  <w:style w:styleId="Style_24" w:type="paragraph">
    <w:name w:val="heading 1"/>
    <w:next w:val="Style_5"/>
    <w:link w:val="Style_2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4_ch" w:type="character">
    <w:name w:val="heading 1"/>
    <w:link w:val="Style_24"/>
    <w:rPr>
      <w:rFonts w:ascii="XO Thames" w:hAnsi="XO Thames"/>
      <w:b w:val="1"/>
      <w:sz w:val="32"/>
    </w:rPr>
  </w:style>
  <w:style w:styleId="Style_18" w:type="paragraph">
    <w:name w:val="Основной шрифт абзаца1"/>
    <w:link w:val="Style_18_ch"/>
  </w:style>
  <w:style w:styleId="Style_18_ch" w:type="character">
    <w:name w:val="Основной шрифт абзаца1"/>
    <w:link w:val="Style_18"/>
  </w:style>
  <w:style w:styleId="Style_25" w:type="paragraph">
    <w:name w:val="Hyperlink"/>
    <w:link w:val="Style_25_ch"/>
    <w:rPr>
      <w:color w:val="0000FF"/>
      <w:u w:val="single"/>
    </w:rPr>
  </w:style>
  <w:style w:styleId="Style_25_ch" w:type="character">
    <w:name w:val="Hyperlink"/>
    <w:link w:val="Style_25"/>
    <w:rPr>
      <w:color w:val="0000FF"/>
      <w:u w:val="single"/>
    </w:rPr>
  </w:style>
  <w:style w:styleId="Style_26" w:type="paragraph">
    <w:name w:val="Footnote"/>
    <w:basedOn w:val="Style_5"/>
    <w:link w:val="Style_26_ch"/>
    <w:pPr>
      <w:spacing w:after="0" w:line="240" w:lineRule="auto"/>
      <w:ind/>
    </w:pPr>
    <w:rPr>
      <w:sz w:val="20"/>
    </w:rPr>
  </w:style>
  <w:style w:styleId="Style_26_ch" w:type="character">
    <w:name w:val="Footnote"/>
    <w:basedOn w:val="Style_5_ch"/>
    <w:link w:val="Style_26"/>
    <w:rPr>
      <w:sz w:val="20"/>
    </w:rPr>
  </w:style>
  <w:style w:styleId="Style_27" w:type="paragraph">
    <w:name w:val="toc 1"/>
    <w:next w:val="Style_5"/>
    <w:link w:val="Style_27_ch"/>
    <w:uiPriority w:val="39"/>
    <w:rPr>
      <w:rFonts w:ascii="XO Thames" w:hAnsi="XO Thames"/>
      <w:b w:val="1"/>
      <w:sz w:val="28"/>
    </w:rPr>
  </w:style>
  <w:style w:styleId="Style_27_ch" w:type="character">
    <w:name w:val="toc 1"/>
    <w:link w:val="Style_27"/>
    <w:rPr>
      <w:rFonts w:ascii="XO Thames" w:hAnsi="XO Thames"/>
      <w:b w:val="1"/>
      <w:sz w:val="28"/>
    </w:rPr>
  </w:style>
  <w:style w:styleId="Style_28" w:type="paragraph">
    <w:name w:val="Header and Footer"/>
    <w:link w:val="Style_28_ch"/>
    <w:pPr>
      <w:spacing w:line="240" w:lineRule="auto"/>
      <w:ind/>
      <w:jc w:val="both"/>
    </w:pPr>
    <w:rPr>
      <w:rFonts w:ascii="XO Thames" w:hAnsi="XO Thames"/>
      <w:sz w:val="28"/>
    </w:rPr>
  </w:style>
  <w:style w:styleId="Style_28_ch" w:type="character">
    <w:name w:val="Header and Footer"/>
    <w:link w:val="Style_28"/>
    <w:rPr>
      <w:rFonts w:ascii="XO Thames" w:hAnsi="XO Thames"/>
      <w:sz w:val="28"/>
    </w:rPr>
  </w:style>
  <w:style w:styleId="Style_29" w:type="paragraph">
    <w:name w:val="Default Paragraph Font"/>
    <w:link w:val="Style_29_ch"/>
  </w:style>
  <w:style w:styleId="Style_29_ch" w:type="character">
    <w:name w:val="Default Paragraph Font"/>
    <w:link w:val="Style_29"/>
  </w:style>
  <w:style w:styleId="Style_30" w:type="paragraph">
    <w:name w:val="toc 9"/>
    <w:next w:val="Style_5"/>
    <w:link w:val="Style_30_ch"/>
    <w:uiPriority w:val="39"/>
    <w:pPr>
      <w:ind w:firstLine="0" w:left="1600"/>
    </w:pPr>
    <w:rPr>
      <w:rFonts w:ascii="XO Thames" w:hAnsi="XO Thames"/>
      <w:sz w:val="28"/>
    </w:rPr>
  </w:style>
  <w:style w:styleId="Style_30_ch" w:type="character">
    <w:name w:val="toc 9"/>
    <w:link w:val="Style_30"/>
    <w:rPr>
      <w:rFonts w:ascii="XO Thames" w:hAnsi="XO Thames"/>
      <w:sz w:val="28"/>
    </w:rPr>
  </w:style>
  <w:style w:styleId="Style_31" w:type="paragraph">
    <w:name w:val="Обычный1"/>
    <w:link w:val="Style_31_ch"/>
  </w:style>
  <w:style w:styleId="Style_31_ch" w:type="character">
    <w:name w:val="Обычный1"/>
    <w:link w:val="Style_31"/>
  </w:style>
  <w:style w:styleId="Style_32" w:type="paragraph">
    <w:name w:val="toc 8"/>
    <w:next w:val="Style_5"/>
    <w:link w:val="Style_32_ch"/>
    <w:uiPriority w:val="39"/>
    <w:pPr>
      <w:ind w:firstLine="0" w:left="1400"/>
    </w:pPr>
    <w:rPr>
      <w:rFonts w:ascii="XO Thames" w:hAnsi="XO Thames"/>
      <w:sz w:val="28"/>
    </w:rPr>
  </w:style>
  <w:style w:styleId="Style_32_ch" w:type="character">
    <w:name w:val="toc 8"/>
    <w:link w:val="Style_32"/>
    <w:rPr>
      <w:rFonts w:ascii="XO Thames" w:hAnsi="XO Thames"/>
      <w:sz w:val="28"/>
    </w:rPr>
  </w:style>
  <w:style w:styleId="Style_33" w:type="paragraph">
    <w:name w:val="Footnote"/>
    <w:link w:val="Style_33_ch"/>
    <w:pPr>
      <w:ind w:firstLine="851" w:left="0"/>
      <w:jc w:val="both"/>
    </w:pPr>
    <w:rPr>
      <w:rFonts w:ascii="XO Thames" w:hAnsi="XO Thames"/>
    </w:rPr>
  </w:style>
  <w:style w:styleId="Style_33_ch" w:type="character">
    <w:name w:val="Footnote"/>
    <w:link w:val="Style_33"/>
    <w:rPr>
      <w:rFonts w:ascii="XO Thames" w:hAnsi="XO Thames"/>
    </w:rPr>
  </w:style>
  <w:style w:styleId="Style_1" w:type="paragraph">
    <w:name w:val="ConsPlusNormal"/>
    <w:link w:val="Style_1_ch"/>
    <w:pPr>
      <w:widowControl w:val="0"/>
      <w:spacing w:after="0" w:line="240" w:lineRule="auto"/>
      <w:ind/>
    </w:pPr>
    <w:rPr>
      <w:rFonts w:ascii="Calibri" w:hAnsi="Calibri"/>
    </w:rPr>
  </w:style>
  <w:style w:styleId="Style_1_ch" w:type="character">
    <w:name w:val="ConsPlusNormal"/>
    <w:link w:val="Style_1"/>
    <w:rPr>
      <w:rFonts w:ascii="Calibri" w:hAnsi="Calibri"/>
    </w:rPr>
  </w:style>
  <w:style w:styleId="Style_34" w:type="paragraph">
    <w:name w:val="toc 5"/>
    <w:next w:val="Style_5"/>
    <w:link w:val="Style_34_ch"/>
    <w:uiPriority w:val="39"/>
    <w:pPr>
      <w:ind w:firstLine="0" w:left="800"/>
    </w:pPr>
    <w:rPr>
      <w:rFonts w:ascii="XO Thames" w:hAnsi="XO Thames"/>
      <w:sz w:val="28"/>
    </w:rPr>
  </w:style>
  <w:style w:styleId="Style_34_ch" w:type="character">
    <w:name w:val="toc 5"/>
    <w:link w:val="Style_34"/>
    <w:rPr>
      <w:rFonts w:ascii="XO Thames" w:hAnsi="XO Thames"/>
      <w:sz w:val="28"/>
    </w:rPr>
  </w:style>
  <w:style w:styleId="Style_35" w:type="paragraph">
    <w:name w:val="annotation subject"/>
    <w:basedOn w:val="Style_36"/>
    <w:next w:val="Style_36"/>
    <w:link w:val="Style_35_ch"/>
    <w:rPr>
      <w:b w:val="1"/>
    </w:rPr>
  </w:style>
  <w:style w:styleId="Style_35_ch" w:type="character">
    <w:name w:val="annotation subject"/>
    <w:basedOn w:val="Style_36_ch"/>
    <w:link w:val="Style_35"/>
    <w:rPr>
      <w:b w:val="1"/>
    </w:rPr>
  </w:style>
  <w:style w:styleId="Style_37" w:type="paragraph">
    <w:name w:val="annotation reference"/>
    <w:basedOn w:val="Style_29"/>
    <w:link w:val="Style_37_ch"/>
    <w:rPr>
      <w:sz w:val="16"/>
    </w:rPr>
  </w:style>
  <w:style w:styleId="Style_37_ch" w:type="character">
    <w:name w:val="annotation reference"/>
    <w:basedOn w:val="Style_29_ch"/>
    <w:link w:val="Style_37"/>
    <w:rPr>
      <w:sz w:val="16"/>
    </w:rPr>
  </w:style>
  <w:style w:styleId="Style_38" w:type="paragraph">
    <w:name w:val="Subtitle"/>
    <w:next w:val="Style_5"/>
    <w:link w:val="Style_3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8_ch" w:type="character">
    <w:name w:val="Subtitle"/>
    <w:link w:val="Style_38"/>
    <w:rPr>
      <w:rFonts w:ascii="XO Thames" w:hAnsi="XO Thames"/>
      <w:i w:val="1"/>
      <w:sz w:val="24"/>
    </w:rPr>
  </w:style>
  <w:style w:styleId="Style_39" w:type="paragraph">
    <w:name w:val="Title"/>
    <w:next w:val="Style_5"/>
    <w:link w:val="Style_3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9_ch" w:type="character">
    <w:name w:val="Title"/>
    <w:link w:val="Style_39"/>
    <w:rPr>
      <w:rFonts w:ascii="XO Thames" w:hAnsi="XO Thames"/>
      <w:b w:val="1"/>
      <w:caps w:val="1"/>
      <w:sz w:val="40"/>
    </w:rPr>
  </w:style>
  <w:style w:styleId="Style_40" w:type="paragraph">
    <w:name w:val="heading 4"/>
    <w:next w:val="Style_5"/>
    <w:link w:val="Style_4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0_ch" w:type="character">
    <w:name w:val="heading 4"/>
    <w:link w:val="Style_40"/>
    <w:rPr>
      <w:rFonts w:ascii="XO Thames" w:hAnsi="XO Thames"/>
      <w:b w:val="1"/>
      <w:sz w:val="24"/>
    </w:rPr>
  </w:style>
  <w:style w:styleId="Style_41" w:type="paragraph">
    <w:name w:val="heading 2"/>
    <w:next w:val="Style_5"/>
    <w:link w:val="Style_4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1_ch" w:type="character">
    <w:name w:val="heading 2"/>
    <w:link w:val="Style_41"/>
    <w:rPr>
      <w:rFonts w:ascii="XO Thames" w:hAnsi="XO Thames"/>
      <w:b w:val="1"/>
      <w:sz w:val="28"/>
    </w:rPr>
  </w:style>
  <w:style w:styleId="Style_36" w:type="paragraph">
    <w:name w:val="annotation text"/>
    <w:basedOn w:val="Style_5"/>
    <w:link w:val="Style_36_ch"/>
    <w:pPr>
      <w:spacing w:line="240" w:lineRule="auto"/>
      <w:ind/>
    </w:pPr>
    <w:rPr>
      <w:sz w:val="20"/>
    </w:rPr>
  </w:style>
  <w:style w:styleId="Style_36_ch" w:type="character">
    <w:name w:val="annotation text"/>
    <w:basedOn w:val="Style_5_ch"/>
    <w:link w:val="Style_36"/>
    <w:rPr>
      <w:sz w:val="20"/>
    </w:rPr>
  </w:style>
  <w:style w:styleId="Style_42" w:type="paragraph">
    <w:name w:val="Гиперссылка2"/>
    <w:link w:val="Style_42_ch"/>
    <w:rPr>
      <w:color w:val="0000FF"/>
      <w:u w:val="single"/>
    </w:rPr>
  </w:style>
  <w:style w:styleId="Style_42_ch" w:type="character">
    <w:name w:val="Гиперссылка2"/>
    <w:link w:val="Style_42"/>
    <w:rPr>
      <w:color w:val="0000FF"/>
      <w:u w:val="single"/>
    </w:rPr>
  </w:style>
  <w:style w:styleId="Style_43" w:type="paragraph">
    <w:name w:val="Основной шрифт абзаца1"/>
    <w:link w:val="Style_43_ch"/>
  </w:style>
  <w:style w:styleId="Style_43_ch" w:type="character">
    <w:name w:val="Основной шрифт абзаца1"/>
    <w:link w:val="Style_43"/>
  </w:style>
  <w:style w:styleId="Style_44" w:type="table">
    <w:name w:val="Table Grid"/>
    <w:basedOn w:val="Style_2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" w:type="table">
    <w:name w:val="Сетка таблицы1"/>
    <w:basedOn w:val="Style_2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8" Target="endnotes.xml" Type="http://schemas.openxmlformats.org/officeDocument/2006/relationships/endnotes"/>
  <Relationship Id="rId4" Target="stylesWithEffects.xml" Type="http://schemas.microsoft.com/office/2007/relationships/stylesWithEffects"/>
  <Relationship Id="rId7" Target="footnotes.xml" Type="http://schemas.openxmlformats.org/officeDocument/2006/relationships/footnote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2025-02-24T06:31:21Z</dcterms:modified>
</cp:coreProperties>
</file>