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1513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6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 внесении изменений в проект планировки территории западной и юго-западной части города Магнитогорска, утвержденный постановлением администрации города от 29.06.2012 №8505-П, в границах улиц Благодатная, Гагарина, Кондратковской, Усадебная</w:t>
      </w:r>
    </w:p>
    <w:p w14:paraId="0B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06.10.2003 №131-ФЗ </w:t>
      </w:r>
      <w: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(в редакции от 25.12.2023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2301), </w:t>
      </w:r>
      <w:r>
        <w:rPr>
          <w:rFonts w:ascii="Times New Roman" w:hAnsi="Times New Roman"/>
          <w:sz w:val="28"/>
        </w:rPr>
        <w:t xml:space="preserve">оповещением администрации города о начале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по документации о внесении изменений в проект планировки территории западной и юго-западной части города Магнитогорска, утвержденный постановлением администрации города от 29.06.2012 №8505-П в границах улиц Благодатная, Гагарина, Кондратковской, Усадебная, опубликованным </w:t>
      </w:r>
      <w:r>
        <w:br/>
      </w:r>
      <w:r>
        <w:rPr>
          <w:rFonts w:ascii="Times New Roman" w:hAnsi="Times New Roman"/>
          <w:sz w:val="28"/>
        </w:rPr>
        <w:t>в газете «Магнитогорский рабочий» от 10.01.2025 №2, с учетом протокола общественных обсуждений от 07.02.2025 и заключения о результатах общественных обсуждений от 07.02.2025, опубликованного в газете «Магнитогорский рабочий» от 07.02.2025 №14, руководствуясь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документацию о внесении изменений в проект планировки территории западной и юго-западной части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 xml:space="preserve">от 29.06.2012 №8505-П, в границах улиц Благодатная, Гагарина, </w:t>
      </w:r>
      <w:r>
        <w:rPr>
          <w:rFonts w:ascii="Times New Roman" w:hAnsi="Times New Roman"/>
          <w:spacing w:val="-20"/>
          <w:sz w:val="28"/>
        </w:rPr>
        <w:t>Кондратковской, Усадебная, шифр: МК-261, выполненный</w:t>
      </w:r>
      <w:r>
        <w:rPr>
          <w:rFonts w:ascii="Times New Roman" w:hAnsi="Times New Roman"/>
          <w:spacing w:val="-20"/>
          <w:sz w:val="28"/>
        </w:rPr>
        <w:t xml:space="preserve"> </w:t>
      </w:r>
      <w:r>
        <w:rPr>
          <w:rFonts w:ascii="Times New Roman" w:hAnsi="Times New Roman"/>
          <w:spacing w:val="-20"/>
          <w:sz w:val="28"/>
        </w:rPr>
        <w:t>ИП Петуниной Е.В.</w:t>
      </w:r>
      <w:r>
        <w:rPr>
          <w:rFonts w:ascii="Times New Roman" w:hAnsi="Times New Roman"/>
          <w:spacing w:val="-20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>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характеристиках планируемого развития территории, о характеристиках объектов капитального строительства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планировки территории. </w:t>
      </w:r>
      <w:r>
        <w:rPr>
          <w:rFonts w:ascii="Times New Roman" w:hAnsi="Times New Roman"/>
          <w:sz w:val="28"/>
        </w:rPr>
        <w:t>Ч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ертеж красных </w:t>
      </w:r>
      <w:r>
        <w:rPr>
          <w:rFonts w:ascii="Times New Roman" w:hAnsi="Times New Roman"/>
          <w:sz w:val="28"/>
        </w:rPr>
        <w:t>линий</w:t>
      </w:r>
      <w:r>
        <w:rPr>
          <w:rFonts w:ascii="Times New Roman" w:hAnsi="Times New Roman"/>
          <w:sz w:val="28"/>
        </w:rPr>
        <w:t xml:space="preserve"> М 1:1000 согласно приложению №3 к настоящему постановлению.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Н.И.):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8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Вр-2046656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Balloon Text"/>
    <w:basedOn w:val="Style_4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2025-02-20T05:52:53Z</dcterms:modified>
</cp:coreProperties>
</file>