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1367</w:t>
      </w:r>
      <w:r>
        <w:rPr>
          <w:spacing w:val="-4"/>
          <w:sz w:val="28"/>
        </w:rPr>
        <w:t>-П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spacing w:after="0" w:before="0" w:line="240" w:lineRule="auto"/>
        <w:ind w:firstLine="0" w:left="0" w:right="425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установлении тарифов 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услуги по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перевозке пассажиров автомобильным транспортом, оказываемые МП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«Магнитогорский городской транспорт»</w:t>
      </w:r>
    </w:p>
    <w:p w14:paraId="08000000">
      <w:pPr>
        <w:pStyle w:val="Style_2"/>
        <w:spacing w:after="0" w:before="0" w:line="240" w:lineRule="auto"/>
        <w:ind/>
        <w:rPr>
          <w:rFonts w:ascii="Times New Roman" w:hAnsi="Times New Roman"/>
          <w:sz w:val="26"/>
        </w:rPr>
      </w:pP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пунктом 4 части 1 статьи 17 Федерального закона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131-ФЗ «Об общих принципах организации местного самоуправления в Российской Федерации», Положением о тарифном регулировании в городе Магнитогорске, утвержденным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"garantf1://8765963.0"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Решением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Магнитогорского городского Собрания депутатов от 26 февраля 2013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36,</w:t>
      </w:r>
      <w:r>
        <w:br/>
      </w:r>
      <w:r>
        <w:rPr>
          <w:rFonts w:ascii="Times New Roman" w:hAnsi="Times New Roman"/>
          <w:sz w:val="26"/>
        </w:rPr>
        <w:t>на основании протокола комиссии по экономической политике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и хозяйственному развитию Магнитогорского городского Собрания депутатов от 22.01.2025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1, 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"garantf1://8601737.8"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0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Установить тарифы на услуги по перевозке пассажиров автомобильным транспортом, оказываемые МП «Магнитогорский городской транспорт» (приложение № 1).</w:t>
      </w:r>
    </w:p>
    <w:p w14:paraId="0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Установить тарифы на услуги по перевозке пассажиров автомобильным транспортом, оказываемые МП «Магнитогорский городской транспорт»,</w:t>
      </w:r>
      <w:r>
        <w:br/>
      </w:r>
      <w:r>
        <w:rPr>
          <w:rFonts w:ascii="Times New Roman" w:hAnsi="Times New Roman"/>
          <w:sz w:val="26"/>
        </w:rPr>
        <w:t>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нужд», «О закупках товаров, работ, услуг отдельными видами юридических лиц» (приложение № 2).</w:t>
      </w:r>
    </w:p>
    <w:p w14:paraId="0E000000">
      <w:pPr>
        <w:pStyle w:val="Style_4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6"/>
        </w:rPr>
        <w:t>после его официального опубликования</w:t>
      </w:r>
      <w:r>
        <w:rPr>
          <w:rFonts w:ascii="Times New Roman" w:hAnsi="Times New Roman"/>
          <w:sz w:val="26"/>
        </w:rPr>
        <w:t>.</w:t>
      </w:r>
    </w:p>
    <w:p w14:paraId="0F000000">
      <w:pPr>
        <w:pStyle w:val="Style_4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6"/>
        </w:rPr>
      </w:pP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0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заместителя главы города Магнитогорска Хваткова А.В.</w:t>
      </w:r>
    </w:p>
    <w:p w14:paraId="11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С.Н. Бердников</w:t>
      </w:r>
    </w:p>
    <w:p w14:paraId="1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2"/>
        </w:rPr>
      </w:pPr>
    </w:p>
    <w:p w14:paraId="1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  <w:r>
        <w:br w:type="page"/>
      </w:r>
    </w:p>
    <w:p w14:paraId="15000000">
      <w:pPr>
        <w:pStyle w:val="Style_2"/>
        <w:spacing w:after="0" w:before="0" w:line="240" w:lineRule="auto"/>
        <w:ind w:firstLine="0" w:left="566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№ 1 </w:t>
      </w:r>
    </w:p>
    <w:p w14:paraId="16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14:paraId="17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18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13.02.2025 № 1367-П</w:t>
      </w:r>
    </w:p>
    <w:p w14:paraId="19000000">
      <w:pPr>
        <w:pStyle w:val="Style_2"/>
        <w:spacing w:after="0" w:before="0" w:line="240" w:lineRule="auto"/>
        <w:ind w:hanging="2685" w:left="7080" w:right="0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hanging="2685" w:left="7080" w:right="0"/>
        <w:rPr>
          <w:rFonts w:ascii="Times New Roman" w:hAnsi="Times New Roman"/>
          <w:sz w:val="28"/>
        </w:rPr>
      </w:pPr>
    </w:p>
    <w:p w14:paraId="1B000000">
      <w:pPr>
        <w:pStyle w:val="Style_4"/>
        <w:widowControl w:val="0"/>
        <w:tabs>
          <w:tab w:leader="none" w:pos="708" w:val="clear"/>
          <w:tab w:leader="none" w:pos="85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 на услуги по перевозке пассажиров автомобильным транспортом, оказываемые МП «Магнитогорский городской транспорт» (без учета НДС)</w:t>
      </w:r>
    </w:p>
    <w:p w14:paraId="1C000000">
      <w:pPr>
        <w:pStyle w:val="Style_4"/>
        <w:widowControl w:val="0"/>
        <w:tabs>
          <w:tab w:leader="none" w:pos="708" w:val="clear"/>
          <w:tab w:leader="none" w:pos="85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2978"/>
        <w:gridCol w:w="2407"/>
        <w:gridCol w:w="3293"/>
      </w:tblGrid>
      <w:tr>
        <w:trPr>
          <w:trHeight w:hRule="atLeast" w:val="484"/>
        </w:trPr>
        <w:tc>
          <w:tcPr>
            <w:tcW w:type="dxa" w:w="93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ГОРОДСКИЕ ПЕРЕВОЗКИ</w:t>
            </w:r>
          </w:p>
        </w:tc>
      </w:tr>
      <w:tr>
        <w:trPr>
          <w:trHeight w:hRule="atLeast" w:val="702"/>
        </w:trPr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29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Марка транспорта</w:t>
            </w:r>
          </w:p>
        </w:tc>
        <w:tc>
          <w:tcPr>
            <w:tcW w:type="dxa" w:w="57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Тарифы за 1 час работы, </w:t>
            </w:r>
          </w:p>
          <w:p w14:paraId="2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рублей</w:t>
            </w:r>
          </w:p>
        </w:tc>
      </w:tr>
      <w:tr>
        <w:trPr>
          <w:trHeight w:hRule="atLeast" w:val="1068"/>
        </w:trPr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пределах установленного норматива пробега</w:t>
            </w:r>
          </w:p>
        </w:tc>
        <w:tc>
          <w:tcPr>
            <w:tcW w:type="dxa" w:w="3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 каждый километр пробега, сверх установленного норматива</w:t>
            </w:r>
          </w:p>
        </w:tc>
      </w:tr>
      <w:tr>
        <w:trPr>
          <w:trHeight w:hRule="atLeast" w:val="36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ГОЛАЗ 52911</w:t>
            </w:r>
          </w:p>
        </w:tc>
        <w:tc>
          <w:tcPr>
            <w:tcW w:type="dxa" w:w="2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1 943,33</w:t>
            </w:r>
          </w:p>
        </w:tc>
        <w:tc>
          <w:tcPr>
            <w:tcW w:type="dxa" w:w="3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42,50</w:t>
            </w:r>
          </w:p>
        </w:tc>
      </w:tr>
      <w:tr>
        <w:trPr>
          <w:trHeight w:hRule="atLeast" w:val="36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ГАЗ А65R32</w:t>
            </w:r>
          </w:p>
        </w:tc>
        <w:tc>
          <w:tcPr>
            <w:tcW w:type="dxa" w:w="2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1 238,33</w:t>
            </w:r>
          </w:p>
        </w:tc>
        <w:tc>
          <w:tcPr>
            <w:tcW w:type="dxa" w:w="3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12,50</w:t>
            </w:r>
          </w:p>
        </w:tc>
      </w:tr>
      <w:tr>
        <w:trPr>
          <w:trHeight w:hRule="atLeast" w:val="36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ГАЗ А63R42</w:t>
            </w:r>
          </w:p>
        </w:tc>
        <w:tc>
          <w:tcPr>
            <w:tcW w:type="dxa" w:w="2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943,33</w:t>
            </w:r>
          </w:p>
        </w:tc>
        <w:tc>
          <w:tcPr>
            <w:tcW w:type="dxa" w:w="3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13,33</w:t>
            </w:r>
          </w:p>
        </w:tc>
      </w:tr>
      <w:tr>
        <w:trPr>
          <w:trHeight w:hRule="atLeast" w:val="36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ПАЗ 423470-04</w:t>
            </w:r>
          </w:p>
        </w:tc>
        <w:tc>
          <w:tcPr>
            <w:tcW w:type="dxa" w:w="2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1 589,17</w:t>
            </w:r>
          </w:p>
        </w:tc>
        <w:tc>
          <w:tcPr>
            <w:tcW w:type="dxa" w:w="3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24,17</w:t>
            </w:r>
          </w:p>
        </w:tc>
      </w:tr>
      <w:tr>
        <w:trPr>
          <w:trHeight w:hRule="atLeast" w:val="36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КАВЗ - 4238</w:t>
            </w:r>
          </w:p>
        </w:tc>
        <w:tc>
          <w:tcPr>
            <w:tcW w:type="dxa" w:w="2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1 439,17</w:t>
            </w:r>
          </w:p>
        </w:tc>
        <w:tc>
          <w:tcPr>
            <w:tcW w:type="dxa" w:w="3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28,33</w:t>
            </w:r>
          </w:p>
        </w:tc>
      </w:tr>
      <w:tr>
        <w:trPr>
          <w:trHeight w:hRule="atLeast" w:val="36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ПАЗ 32053-70</w:t>
            </w:r>
          </w:p>
        </w:tc>
        <w:tc>
          <w:tcPr>
            <w:tcW w:type="dxa" w:w="2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1 533,33</w:t>
            </w:r>
          </w:p>
        </w:tc>
        <w:tc>
          <w:tcPr>
            <w:tcW w:type="dxa" w:w="3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25,83</w:t>
            </w:r>
          </w:p>
        </w:tc>
      </w:tr>
    </w:tbl>
    <w:p w14:paraId="3C000000">
      <w:pPr>
        <w:pStyle w:val="Style_2"/>
        <w:spacing w:after="0" w:before="0" w:line="240" w:lineRule="auto"/>
        <w:ind w:firstLine="3690" w:left="705" w:right="0"/>
        <w:rPr>
          <w:rFonts w:ascii="Times New Roman" w:hAnsi="Times New Roman"/>
          <w:sz w:val="28"/>
        </w:rPr>
      </w:pPr>
    </w:p>
    <w:p w14:paraId="3D000000">
      <w:pPr>
        <w:pStyle w:val="Style_2"/>
        <w:spacing w:after="0" w:before="0" w:line="240" w:lineRule="auto"/>
        <w:ind w:firstLine="3690" w:left="705" w:right="0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2692"/>
        <w:gridCol w:w="2270"/>
        <w:gridCol w:w="2153"/>
        <w:gridCol w:w="1565"/>
      </w:tblGrid>
      <w:tr>
        <w:trPr>
          <w:trHeight w:hRule="atLeast" w:val="503"/>
        </w:trPr>
        <w:tc>
          <w:tcPr>
            <w:tcW w:type="dxa" w:w="935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МЕЖДУГОРОДНЫЕ ПЕРЕВОЗКИ</w:t>
            </w:r>
          </w:p>
        </w:tc>
      </w:tr>
      <w:tr>
        <w:trPr>
          <w:trHeight w:hRule="atLeast" w:val="706"/>
        </w:trPr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26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Марка транспорта</w:t>
            </w:r>
          </w:p>
        </w:tc>
        <w:tc>
          <w:tcPr>
            <w:tcW w:type="dxa" w:w="59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Тарифы за 1 час работы, </w:t>
            </w:r>
          </w:p>
          <w:p w14:paraId="4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рублей</w:t>
            </w:r>
          </w:p>
        </w:tc>
      </w:tr>
      <w:tr>
        <w:trPr>
          <w:trHeight w:hRule="atLeast" w:val="465"/>
        </w:trPr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4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При движении</w:t>
            </w:r>
          </w:p>
        </w:tc>
        <w:tc>
          <w:tcPr>
            <w:tcW w:type="dxa" w:w="1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При простое</w:t>
            </w:r>
          </w:p>
        </w:tc>
      </w:tr>
      <w:tr>
        <w:trPr>
          <w:trHeight w:hRule="atLeast" w:val="1668"/>
        </w:trPr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 пределах установленного норматива пробега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 каждый километр пробега, сверх установленного норматива</w:t>
            </w:r>
          </w:p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36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ГОЛАЗ 52911</w:t>
            </w:r>
          </w:p>
        </w:tc>
        <w:tc>
          <w:tcPr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2 773,33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41,67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927,50</w:t>
            </w:r>
          </w:p>
        </w:tc>
      </w:tr>
      <w:tr>
        <w:trPr>
          <w:trHeight w:hRule="atLeast" w:val="36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ГАЗ А65R32</w:t>
            </w:r>
          </w:p>
        </w:tc>
        <w:tc>
          <w:tcPr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1 377,50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12,50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884,17</w:t>
            </w:r>
          </w:p>
        </w:tc>
      </w:tr>
      <w:tr>
        <w:trPr>
          <w:trHeight w:hRule="atLeast" w:val="36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2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ГАЗ А63R42</w:t>
            </w:r>
          </w:p>
        </w:tc>
        <w:tc>
          <w:tcPr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1 090,83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13,33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565,83</w:t>
            </w:r>
          </w:p>
        </w:tc>
      </w:tr>
    </w:tbl>
    <w:p w14:paraId="56000000">
      <w:pPr>
        <w:pStyle w:val="Style_2"/>
        <w:spacing w:after="0" w:before="0" w:line="240" w:lineRule="auto"/>
        <w:ind w:firstLine="3690" w:left="705" w:right="0"/>
        <w:rPr>
          <w:rFonts w:ascii="Times New Roman" w:hAnsi="Times New Roman"/>
          <w:sz w:val="28"/>
        </w:rPr>
      </w:pPr>
    </w:p>
    <w:p w14:paraId="57000000">
      <w:pPr>
        <w:pStyle w:val="Style_2"/>
        <w:spacing w:after="0" w:before="0" w:line="240" w:lineRule="auto"/>
        <w:ind w:firstLine="3690" w:left="705" w:right="0"/>
        <w:rPr>
          <w:rFonts w:ascii="Times New Roman" w:hAnsi="Times New Roman"/>
          <w:sz w:val="28"/>
        </w:rPr>
      </w:pPr>
    </w:p>
    <w:p w14:paraId="58000000">
      <w:pPr>
        <w:pStyle w:val="Style_2"/>
        <w:spacing w:after="0" w:before="0" w:line="240" w:lineRule="auto"/>
        <w:ind w:firstLine="3690" w:left="705" w:right="0"/>
        <w:rPr>
          <w:rFonts w:ascii="Times New Roman" w:hAnsi="Times New Roman"/>
          <w:sz w:val="28"/>
        </w:rPr>
      </w:pPr>
    </w:p>
    <w:p w14:paraId="59000000">
      <w:pPr>
        <w:pStyle w:val="Style_2"/>
        <w:spacing w:after="0" w:before="0" w:line="240" w:lineRule="auto"/>
        <w:ind w:firstLine="3690" w:left="705" w:right="0"/>
        <w:rPr>
          <w:rFonts w:ascii="Times New Roman" w:hAnsi="Times New Roman"/>
          <w:sz w:val="28"/>
        </w:rPr>
      </w:pPr>
    </w:p>
    <w:p w14:paraId="5A000000">
      <w:pPr>
        <w:pStyle w:val="Style_2"/>
        <w:spacing w:after="0" w:before="0" w:line="240" w:lineRule="auto"/>
        <w:ind w:firstLine="3690" w:left="705" w:right="0"/>
        <w:rPr>
          <w:rFonts w:ascii="Times New Roman" w:hAnsi="Times New Roman"/>
          <w:sz w:val="28"/>
        </w:rPr>
      </w:pPr>
      <w:r>
        <w:br w:type="page"/>
      </w:r>
    </w:p>
    <w:p w14:paraId="5B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</w:t>
      </w:r>
    </w:p>
    <w:p w14:paraId="5C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14:paraId="5D000000">
      <w:pPr>
        <w:pStyle w:val="Style_2"/>
        <w:spacing w:after="0" w:before="0" w:line="240" w:lineRule="auto"/>
        <w:ind w:firstLine="0" w:left="566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5E000000">
      <w:pPr>
        <w:pStyle w:val="Style_2"/>
        <w:spacing w:after="0" w:before="0" w:line="240" w:lineRule="auto"/>
        <w:ind w:firstLine="0" w:left="5669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13.02.2025 № 1367-П</w:t>
      </w:r>
    </w:p>
    <w:p w14:paraId="5F000000">
      <w:pPr>
        <w:pStyle w:val="Style_2"/>
        <w:spacing w:after="0" w:before="0" w:line="240" w:lineRule="auto"/>
        <w:ind w:firstLine="3690" w:left="705" w:right="0"/>
        <w:rPr>
          <w:rFonts w:ascii="Times New Roman" w:hAnsi="Times New Roman"/>
          <w:sz w:val="28"/>
        </w:rPr>
      </w:pPr>
    </w:p>
    <w:p w14:paraId="60000000">
      <w:pPr>
        <w:pStyle w:val="Style_2"/>
        <w:spacing w:after="0" w:before="0" w:line="240" w:lineRule="auto"/>
        <w:ind w:firstLine="3690" w:left="705" w:right="0"/>
        <w:rPr>
          <w:rFonts w:ascii="Times New Roman" w:hAnsi="Times New Roman"/>
          <w:sz w:val="28"/>
        </w:rPr>
      </w:pPr>
    </w:p>
    <w:p w14:paraId="61000000">
      <w:pPr>
        <w:pStyle w:val="Style_4"/>
        <w:widowControl w:val="0"/>
        <w:spacing w:after="0" w:before="0" w:line="240" w:lineRule="auto"/>
        <w:ind w:firstLine="705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 на услуги по перевозке пассажиров автомобильным транспортом, оказываемые МП «Магнитогорский городской транспорт»,</w:t>
      </w:r>
      <w:r>
        <w:br/>
      </w:r>
      <w:r>
        <w:rPr>
          <w:rFonts w:ascii="Times New Roman" w:hAnsi="Times New Roman"/>
          <w:sz w:val="28"/>
        </w:rPr>
        <w:t>в соответствии с Федеральными законами «О контрактной системе в сфере закупок товаров, работ, услуг для обеспечения государственных</w:t>
      </w:r>
      <w:r>
        <w:br/>
      </w:r>
      <w:r>
        <w:rPr>
          <w:rFonts w:ascii="Times New Roman" w:hAnsi="Times New Roman"/>
          <w:sz w:val="28"/>
        </w:rPr>
        <w:t>и муниципальных нужд», «О закупках товаров, работ, услуг отдельными видами юридических лиц» (без учета НДС):</w:t>
      </w:r>
    </w:p>
    <w:p w14:paraId="62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sz w:val="26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0"/>
        <w:gridCol w:w="3023"/>
        <w:gridCol w:w="2588"/>
        <w:gridCol w:w="3111"/>
      </w:tblGrid>
      <w:tr>
        <w:trPr>
          <w:trHeight w:hRule="atLeast" w:val="496"/>
        </w:trPr>
        <w:tc>
          <w:tcPr>
            <w:tcW w:type="dxa" w:w="93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ГОРОДСКИЕ ПЕРЕВОЗКИ</w:t>
            </w:r>
          </w:p>
        </w:tc>
      </w:tr>
      <w:tr>
        <w:trPr>
          <w:trHeight w:hRule="atLeast" w:val="720"/>
        </w:trPr>
        <w:tc>
          <w:tcPr>
            <w:tcW w:type="dxa" w:w="6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30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Марка транспорта</w:t>
            </w:r>
          </w:p>
        </w:tc>
        <w:tc>
          <w:tcPr>
            <w:tcW w:type="dxa" w:w="569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Тарифы за 1 час работы, </w:t>
            </w:r>
          </w:p>
          <w:p w14:paraId="6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рублей</w:t>
            </w:r>
          </w:p>
        </w:tc>
      </w:tr>
      <w:tr>
        <w:trPr>
          <w:trHeight w:hRule="atLeast" w:val="1305"/>
        </w:trPr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0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 пределах установленного норматива пробега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за каждый километр пробега, сверх установленного норматива</w:t>
            </w:r>
          </w:p>
        </w:tc>
      </w:tr>
      <w:tr>
        <w:trPr>
          <w:trHeight w:hRule="atLeast" w:val="457"/>
        </w:trPr>
        <w:tc>
          <w:tcPr>
            <w:tcW w:type="dxa" w:w="93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предельные минимальные тарифы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ГОЛАЗ 52911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1 690,00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37,50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ГАЗ А65R32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1 076,67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11,67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ГАЗ А63R42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820,00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12,50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ПАЗ 423470-04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1 381,67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20,83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КАВЗ - 4238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1 251,67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25,00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ПАЗ 32053-70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1 333,33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22,50</w:t>
            </w:r>
          </w:p>
        </w:tc>
      </w:tr>
      <w:tr>
        <w:trPr>
          <w:trHeight w:hRule="atLeast" w:val="530"/>
        </w:trPr>
        <w:tc>
          <w:tcPr>
            <w:tcW w:type="dxa" w:w="93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предельные максимальные тарифы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ГОЛАЗ 52911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1 943,33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42,50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ГАЗ А65R32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1 238,33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12,50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ГАЗ А63R42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943,33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13,33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ПАЗ 423470-04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1 589,17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24,17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КАВЗ - 4238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1 439,17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28,33</w:t>
            </w:r>
          </w:p>
        </w:tc>
      </w:tr>
      <w:tr>
        <w:trPr>
          <w:trHeight w:hRule="atLeast" w:val="367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3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ПАЗ 32053-70</w:t>
            </w:r>
          </w:p>
        </w:tc>
        <w:tc>
          <w:tcPr>
            <w:tcW w:type="dxa" w:w="2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1 533,33</w:t>
            </w:r>
          </w:p>
        </w:tc>
        <w:tc>
          <w:tcPr>
            <w:tcW w:type="dxa" w:w="3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25,83</w:t>
            </w:r>
          </w:p>
        </w:tc>
      </w:tr>
    </w:tbl>
    <w:p w14:paraId="9C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9D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</w:p>
    <w:p w14:paraId="9E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</w:p>
    <w:p w14:paraId="9F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</w:p>
    <w:p w14:paraId="A0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</w:p>
    <w:p w14:paraId="A1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</w:p>
    <w:p w14:paraId="A2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</w:p>
    <w:p w14:paraId="A3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</w:p>
    <w:p w14:paraId="A4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</w:p>
    <w:p w14:paraId="A5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3"/>
        <w:gridCol w:w="2696"/>
        <w:gridCol w:w="2237"/>
        <w:gridCol w:w="2184"/>
        <w:gridCol w:w="1566"/>
      </w:tblGrid>
      <w:tr>
        <w:trPr>
          <w:trHeight w:hRule="atLeast" w:val="484"/>
        </w:trPr>
        <w:tc>
          <w:tcPr>
            <w:tcW w:type="dxa" w:w="93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МЕЖДУГОРОДНЫЕ ПЕРЕВОЗКИ</w:t>
            </w:r>
          </w:p>
        </w:tc>
      </w:tr>
      <w:tr>
        <w:trPr>
          <w:trHeight w:hRule="atLeast" w:val="675"/>
        </w:trPr>
        <w:tc>
          <w:tcPr>
            <w:tcW w:type="dxa" w:w="6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26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Марка транспорта</w:t>
            </w:r>
          </w:p>
        </w:tc>
        <w:tc>
          <w:tcPr>
            <w:tcW w:type="dxa" w:w="59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Тарифы за 1 час работы,</w:t>
            </w:r>
          </w:p>
          <w:p w14:paraId="A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рублей</w:t>
            </w:r>
          </w:p>
        </w:tc>
      </w:tr>
      <w:tr>
        <w:trPr>
          <w:trHeight w:hRule="atLeast" w:val="465"/>
        </w:trPr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4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При движении</w:t>
            </w:r>
          </w:p>
        </w:tc>
        <w:tc>
          <w:tcPr>
            <w:tcW w:type="dxa" w:w="15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При простое</w:t>
            </w:r>
          </w:p>
        </w:tc>
      </w:tr>
      <w:tr>
        <w:trPr>
          <w:trHeight w:hRule="atLeast" w:val="1664"/>
        </w:trPr>
        <w:tc>
          <w:tcPr>
            <w:tcW w:type="dxa" w:w="6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 пределах установленного норматива пробега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за каждый километр пробега, сверх установленного норматива</w:t>
            </w:r>
          </w:p>
        </w:tc>
        <w:tc>
          <w:tcPr>
            <w:tcW w:type="dxa" w:w="15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461"/>
        </w:trPr>
        <w:tc>
          <w:tcPr>
            <w:tcW w:type="dxa" w:w="93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предельные минимальные тарифы</w:t>
            </w:r>
          </w:p>
        </w:tc>
      </w:tr>
      <w:tr>
        <w:trPr>
          <w:trHeight w:hRule="atLeast" w:val="367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ГОЛАЗ 52911</w:t>
            </w:r>
          </w:p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2 411,67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36,67</w:t>
            </w:r>
          </w:p>
        </w:tc>
        <w:tc>
          <w:tcPr>
            <w:tcW w:type="dxa" w:w="1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807,50</w:t>
            </w:r>
          </w:p>
        </w:tc>
      </w:tr>
      <w:tr>
        <w:trPr>
          <w:trHeight w:hRule="atLeast" w:val="367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ГАЗ А65R32</w:t>
            </w:r>
          </w:p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1 197,50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11,67</w:t>
            </w:r>
          </w:p>
        </w:tc>
        <w:tc>
          <w:tcPr>
            <w:tcW w:type="dxa" w:w="1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769,17</w:t>
            </w:r>
          </w:p>
        </w:tc>
      </w:tr>
      <w:tr>
        <w:trPr>
          <w:trHeight w:hRule="atLeast" w:val="367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ГАЗ А63R42</w:t>
            </w:r>
          </w:p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948,33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12,50</w:t>
            </w:r>
          </w:p>
        </w:tc>
        <w:tc>
          <w:tcPr>
            <w:tcW w:type="dxa" w:w="1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492,50</w:t>
            </w:r>
          </w:p>
        </w:tc>
      </w:tr>
      <w:tr>
        <w:trPr>
          <w:trHeight w:hRule="atLeast" w:val="445"/>
        </w:trPr>
        <w:tc>
          <w:tcPr>
            <w:tcW w:type="dxa" w:w="935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предельные максимальные тарифы</w:t>
            </w:r>
          </w:p>
        </w:tc>
      </w:tr>
      <w:tr>
        <w:trPr>
          <w:trHeight w:hRule="atLeast" w:val="367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ГОЛАЗ 52911</w:t>
            </w:r>
          </w:p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2 773,33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41,67</w:t>
            </w:r>
          </w:p>
        </w:tc>
        <w:tc>
          <w:tcPr>
            <w:tcW w:type="dxa" w:w="1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927,50</w:t>
            </w:r>
          </w:p>
        </w:tc>
      </w:tr>
      <w:tr>
        <w:trPr>
          <w:trHeight w:hRule="atLeast" w:val="353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ГАЗ А65R32</w:t>
            </w:r>
          </w:p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1 377,50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12,50</w:t>
            </w:r>
          </w:p>
        </w:tc>
        <w:tc>
          <w:tcPr>
            <w:tcW w:type="dxa" w:w="1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884,17</w:t>
            </w:r>
          </w:p>
        </w:tc>
      </w:tr>
      <w:tr>
        <w:trPr>
          <w:trHeight w:hRule="atLeast" w:val="367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2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ГАЗ А63R42</w:t>
            </w:r>
          </w:p>
        </w:tc>
        <w:tc>
          <w:tcPr>
            <w:tcW w:type="dxa" w:w="22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1 090,83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13,33</w:t>
            </w:r>
          </w:p>
        </w:tc>
        <w:tc>
          <w:tcPr>
            <w:tcW w:type="dxa" w:w="1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565,83</w:t>
            </w:r>
          </w:p>
        </w:tc>
      </w:tr>
    </w:tbl>
    <w:p w14:paraId="CF000000">
      <w:pPr>
        <w:pStyle w:val="Style_4"/>
        <w:widowControl w:val="0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D0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Вр-2032096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1260" w:left="2253"/>
      </w:pPr>
      <w:rPr>
        <w:rFonts w:ascii="PT Astra Serif" w:hAnsi="PT Astra Serif"/>
        <w:sz w:val="26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073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793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513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233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953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673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393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11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2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er"/>
    <w:basedOn w:val="Style_2"/>
    <w:link w:val="Style_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8_ch" w:type="character">
    <w:name w:val="Header"/>
    <w:basedOn w:val="Style_2_ch"/>
    <w:link w:val="Style_8"/>
  </w:style>
  <w:style w:styleId="Style_9" w:type="paragraph">
    <w:name w:val="toc 6"/>
    <w:next w:val="Style_2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4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Endnote"/>
    <w:link w:val="Style_1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Caption"/>
    <w:link w:val="Style_14_ch"/>
    <w:rPr>
      <w:rFonts w:ascii="PT Astra Serif" w:hAnsi="PT Astra Serif"/>
      <w:i w:val="1"/>
      <w:sz w:val="24"/>
    </w:rPr>
  </w:style>
  <w:style w:styleId="Style_14_ch" w:type="character">
    <w:name w:val="Caption"/>
    <w:link w:val="Style_14"/>
    <w:rPr>
      <w:rFonts w:ascii="PT Astra Serif" w:hAnsi="PT Astra Serif"/>
      <w:i w:val="1"/>
      <w:sz w:val="24"/>
    </w:rPr>
  </w:style>
  <w:style w:styleId="Style_15" w:type="paragraph">
    <w:name w:val="Footer"/>
    <w:link w:val="Style_15_ch"/>
  </w:style>
  <w:style w:styleId="Style_15_ch" w:type="character">
    <w:name w:val="Footer"/>
    <w:link w:val="Style_15"/>
  </w:style>
  <w:style w:styleId="Style_16" w:type="paragraph">
    <w:name w:val="Internet link"/>
    <w:link w:val="Style_16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6_ch" w:type="character">
    <w:name w:val="Internet link"/>
    <w:link w:val="Style_16"/>
    <w:rPr>
      <w:rFonts w:ascii="Calibri" w:hAnsi="Calibri"/>
      <w:color w:val="0000FF"/>
      <w:spacing w:val="0"/>
      <w:sz w:val="22"/>
      <w:u w:val="single"/>
    </w:rPr>
  </w:style>
  <w:style w:styleId="Style_17" w:type="paragraph">
    <w:name w:val="Contents 9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9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ontents 7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Contents 7"/>
    <w:link w:val="Style_18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19" w:type="paragraph">
    <w:name w:val="toc 3"/>
    <w:next w:val="Style_2"/>
    <w:link w:val="Style_19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Contents 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Contents 1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Contents 5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5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Subtitle"/>
    <w:next w:val="Style_2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000000"/>
      <w:spacing w:val="0"/>
      <w:sz w:val="24"/>
    </w:rPr>
  </w:style>
  <w:style w:styleId="Style_23" w:type="paragraph">
    <w:name w:val="Contents 6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6"/>
    <w:link w:val="Style_23"/>
    <w:rPr>
      <w:rFonts w:ascii="XO Thames" w:hAnsi="XO Thames"/>
      <w:color w:val="000000"/>
      <w:spacing w:val="0"/>
      <w:sz w:val="28"/>
    </w:rPr>
  </w:style>
  <w:style w:styleId="Style_3" w:type="paragraph">
    <w:name w:val="No Spacing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_ch" w:type="character">
    <w:name w:val="No Spacing"/>
    <w:link w:val="Style_3"/>
    <w:rPr>
      <w:rFonts w:asciiTheme="minorAscii" w:hAnsiTheme="minorHAnsi"/>
      <w:color w:val="000000"/>
      <w:spacing w:val="0"/>
      <w:sz w:val="22"/>
    </w:rPr>
  </w:style>
  <w:style w:styleId="Style_24" w:type="paragraph">
    <w:name w:val="Heading 1"/>
    <w:link w:val="Style_24_ch"/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eading 5"/>
    <w:link w:val="Style_2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Contents 3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1"/>
    <w:next w:val="Style_2"/>
    <w:link w:val="Style_2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Заголовок"/>
    <w:basedOn w:val="Style_2"/>
    <w:next w:val="Style_29"/>
    <w:link w:val="Style_2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Заголовок"/>
    <w:basedOn w:val="Style_2_ch"/>
    <w:link w:val="Style_28"/>
    <w:rPr>
      <w:rFonts w:ascii="PT Astra Serif" w:hAnsi="PT Astra Serif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toc 1"/>
    <w:next w:val="Style_2"/>
    <w:link w:val="Style_32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Header and Footer"/>
    <w:link w:val="Style_33_ch"/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heading 2"/>
    <w:link w:val="Style_34_ch"/>
    <w:pPr>
      <w:ind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Title"/>
    <w:next w:val="Style_2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color w:val="000000"/>
      <w:spacing w:val="0"/>
      <w:sz w:val="40"/>
    </w:rPr>
  </w:style>
  <w:style w:styleId="Style_36" w:type="paragraph">
    <w:name w:val="Heading 3"/>
    <w:link w:val="Style_36_ch"/>
    <w:rPr>
      <w:rFonts w:ascii="XO Thames" w:hAnsi="XO Thames"/>
      <w:b w:val="1"/>
      <w:sz w:val="26"/>
    </w:rPr>
  </w:style>
  <w:style w:styleId="Style_36_ch" w:type="character">
    <w:name w:val="Heading 3"/>
    <w:link w:val="Style_36"/>
    <w:rPr>
      <w:rFonts w:ascii="XO Thames" w:hAnsi="XO Thames"/>
      <w:b w:val="1"/>
      <w:sz w:val="26"/>
    </w:rPr>
  </w:style>
  <w:style w:styleId="Style_37" w:type="paragraph">
    <w:name w:val="toc 9"/>
    <w:next w:val="Style_2"/>
    <w:link w:val="Style_37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29" w:type="paragraph">
    <w:name w:val="Body Text"/>
    <w:basedOn w:val="Style_2"/>
    <w:link w:val="Style_29_ch"/>
    <w:pPr>
      <w:spacing w:after="140" w:before="0" w:line="276" w:lineRule="auto"/>
      <w:ind/>
    </w:pPr>
  </w:style>
  <w:style w:styleId="Style_29_ch" w:type="character">
    <w:name w:val="Body Text"/>
    <w:basedOn w:val="Style_2_ch"/>
    <w:link w:val="Style_29"/>
  </w:style>
  <w:style w:styleId="Style_38" w:type="paragraph">
    <w:name w:val="Balloon Text"/>
    <w:basedOn w:val="Style_2"/>
    <w:link w:val="Style_38_ch"/>
    <w:pPr>
      <w:spacing w:after="0" w:before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2_ch"/>
    <w:link w:val="Style_38"/>
    <w:rPr>
      <w:rFonts w:ascii="Tahoma" w:hAnsi="Tahoma"/>
      <w:sz w:val="16"/>
    </w:rPr>
  </w:style>
  <w:style w:styleId="Style_39" w:type="paragraph">
    <w:name w:val="Указатель"/>
    <w:basedOn w:val="Style_2"/>
    <w:link w:val="Style_39_ch"/>
    <w:rPr>
      <w:rFonts w:ascii="PT Astra Serif" w:hAnsi="PT Astra Serif"/>
    </w:rPr>
  </w:style>
  <w:style w:styleId="Style_39_ch" w:type="character">
    <w:name w:val="Указатель"/>
    <w:basedOn w:val="Style_2_ch"/>
    <w:link w:val="Style_39"/>
    <w:rPr>
      <w:rFonts w:ascii="PT Astra Serif" w:hAnsi="PT Astra Serif"/>
    </w:rPr>
  </w:style>
  <w:style w:styleId="Style_40" w:type="paragraph">
    <w:name w:val="toc 8"/>
    <w:next w:val="Style_2"/>
    <w:link w:val="Style_40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2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2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Text body"/>
    <w:link w:val="Style_42_ch"/>
  </w:style>
  <w:style w:styleId="Style_42_ch" w:type="character">
    <w:name w:val="Text body"/>
    <w:link w:val="Style_42"/>
  </w:style>
  <w:style w:styleId="Style_43" w:type="paragraph">
    <w:name w:val="Header"/>
    <w:link w:val="Style_43_ch"/>
  </w:style>
  <w:style w:styleId="Style_43_ch" w:type="character">
    <w:name w:val="Header"/>
    <w:link w:val="Style_43"/>
  </w:style>
  <w:style w:styleId="Style_44" w:type="paragraph">
    <w:name w:val="toc 5"/>
    <w:next w:val="Style_2"/>
    <w:link w:val="Style_44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ontents 8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8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heading 4"/>
    <w:link w:val="Style_46_ch"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6_ch" w:type="character">
    <w:name w:val="heading 4"/>
    <w:link w:val="Style_46"/>
    <w:rPr>
      <w:rFonts w:ascii="XO Thames" w:hAnsi="XO Thames"/>
      <w:b w:val="1"/>
      <w:color w:val="000000"/>
      <w:spacing w:val="0"/>
      <w:sz w:val="24"/>
    </w:rPr>
  </w:style>
  <w:style w:styleId="Style_47" w:type="paragraph">
    <w:name w:val="Caption"/>
    <w:basedOn w:val="Style_2"/>
    <w:link w:val="Style_47_ch"/>
    <w:pPr>
      <w:spacing w:after="120" w:before="120"/>
      <w:ind/>
    </w:pPr>
    <w:rPr>
      <w:rFonts w:ascii="PT Astra Serif" w:hAnsi="PT Astra Serif"/>
      <w:i w:val="1"/>
      <w:sz w:val="24"/>
    </w:rPr>
  </w:style>
  <w:style w:styleId="Style_47_ch" w:type="character">
    <w:name w:val="Caption"/>
    <w:basedOn w:val="Style_2_ch"/>
    <w:link w:val="Style_47"/>
    <w:rPr>
      <w:rFonts w:ascii="PT Astra Serif" w:hAnsi="PT Astra Serif"/>
      <w:i w:val="1"/>
      <w:sz w:val="24"/>
    </w:rPr>
  </w:style>
  <w:style w:styleId="Style_48" w:type="paragraph">
    <w:name w:val="heading 5"/>
    <w:next w:val="Style_2"/>
    <w:link w:val="Style_48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8_ch" w:type="character">
    <w:name w:val="heading 5"/>
    <w:link w:val="Style_48"/>
    <w:rPr>
      <w:rFonts w:ascii="XO Thames" w:hAnsi="XO Thames"/>
      <w:b w:val="1"/>
      <w:color w:val="000000"/>
      <w:spacing w:val="0"/>
      <w:sz w:val="22"/>
    </w:rPr>
  </w:style>
  <w:style w:styleId="Style_49" w:type="paragraph">
    <w:name w:val="List"/>
    <w:basedOn w:val="Style_42"/>
    <w:link w:val="Style_49_ch"/>
    <w:rPr>
      <w:rFonts w:ascii="PT Astra Serif" w:hAnsi="PT Astra Serif"/>
    </w:rPr>
  </w:style>
  <w:style w:styleId="Style_49_ch" w:type="character">
    <w:name w:val="List"/>
    <w:basedOn w:val="Style_42_ch"/>
    <w:link w:val="Style_49"/>
    <w:rPr>
      <w:rFonts w:ascii="PT Astra Serif" w:hAnsi="PT Astra Serif"/>
    </w:rPr>
  </w:style>
  <w:style w:styleId="Style_50" w:type="paragraph">
    <w:name w:val="List"/>
    <w:basedOn w:val="Style_29"/>
    <w:link w:val="Style_50_ch"/>
    <w:rPr>
      <w:rFonts w:ascii="PT Astra Serif" w:hAnsi="PT Astra Serif"/>
    </w:rPr>
  </w:style>
  <w:style w:styleId="Style_50_ch" w:type="character">
    <w:name w:val="List"/>
    <w:basedOn w:val="Style_29_ch"/>
    <w:link w:val="Style_50"/>
    <w:rPr>
      <w:rFonts w:ascii="PT Astra Serif" w:hAnsi="PT Astra Serif"/>
    </w:rPr>
  </w:style>
  <w:style w:styleId="Style_51" w:type="paragraph">
    <w:name w:val="Колонтитул"/>
    <w:link w:val="Style_51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51_ch" w:type="character">
    <w:name w:val="Колонтитул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Subtitle"/>
    <w:link w:val="Style_52_ch"/>
    <w:uiPriority w:val="11"/>
    <w:qFormat/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Default Paragraph Font"/>
    <w:link w:val="Style_5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3_ch" w:type="character">
    <w:name w:val="Default Paragraph Font"/>
    <w:link w:val="Style_53"/>
    <w:rPr>
      <w:rFonts w:asciiTheme="minorAscii" w:hAnsiTheme="minorHAnsi"/>
      <w:color w:val="000000"/>
      <w:spacing w:val="0"/>
      <w:sz w:val="22"/>
    </w:rPr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2"/>
    <w:link w:val="Style_5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heading 2"/>
    <w:next w:val="Style_2"/>
    <w:link w:val="Style_5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6_ch" w:type="character">
    <w:name w:val="heading 2"/>
    <w:link w:val="Style_56"/>
    <w:rPr>
      <w:rFonts w:ascii="XO Thames" w:hAnsi="XO Thames"/>
      <w:b w:val="1"/>
      <w:color w:val="000000"/>
      <w:spacing w:val="0"/>
      <w:sz w:val="28"/>
    </w:rPr>
  </w:style>
  <w:style w:styleId="Style_4" w:type="paragraph">
    <w:name w:val="List Paragraph"/>
    <w:basedOn w:val="Style_2"/>
    <w:link w:val="Style_4_ch"/>
    <w:pPr>
      <w:spacing w:after="200" w:before="0"/>
      <w:ind w:firstLine="0" w:left="720" w:right="0"/>
      <w:contextualSpacing w:val="1"/>
    </w:pPr>
  </w:style>
  <w:style w:styleId="Style_4_ch" w:type="character">
    <w:name w:val="List Paragraph"/>
    <w:basedOn w:val="Style_2_ch"/>
    <w:link w:val="Style_4"/>
  </w:style>
  <w:style w:default="1" w:styleId="Style_5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5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2025-02-14T08:21:39Z</dcterms:modified>
</cp:coreProperties>
</file>