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1366</w:t>
      </w:r>
      <w:r>
        <w:rPr>
          <w:spacing w:val="-4"/>
          <w:sz w:val="28"/>
        </w:rPr>
        <w:t>-П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right="3825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Об установлении тарифов на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спецтехники и прочие услуги,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оказываемые МП «Магнитогорский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городской транспорт»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4 части 1 статьи 17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06.10.2003 №131-ФЗ </w:t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Положением о тарифном регулировании в городе Магнитогорске, утвержденным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"garantF1://8765963.0"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26 февраля 2013 года №36, на основании протокола комиссии по экономической политике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хозяйственному развитию Магнитогорского городского Собрания депутатов </w:t>
      </w:r>
      <w:r>
        <w:rPr>
          <w:rFonts w:ascii="Times New Roman" w:hAnsi="Times New Roman"/>
          <w:sz w:val="28"/>
        </w:rPr>
        <w:t>от 22.01.2025 № 1,</w:t>
      </w:r>
      <w:r>
        <w:rPr>
          <w:rFonts w:ascii="Times New Roman" w:hAnsi="Times New Roman"/>
          <w:sz w:val="28"/>
        </w:rPr>
        <w:t xml:space="preserve">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15000000">
      <w:pPr>
        <w:pStyle w:val="Style_3"/>
        <w:spacing w:after="0" w:line="240" w:lineRule="auto"/>
        <w:ind w:firstLine="0" w:left="1069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7000000">
      <w:pPr>
        <w:pStyle w:val="Style_4"/>
        <w:numPr>
          <w:ilvl w:val="0"/>
          <w:numId w:val="1"/>
        </w:numPr>
        <w:tabs>
          <w:tab w:leader="none" w:pos="1134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тарифы на услуги</w:t>
      </w:r>
      <w:r>
        <w:rPr>
          <w:rFonts w:ascii="Times New Roman" w:hAnsi="Times New Roman"/>
          <w:sz w:val="28"/>
        </w:rPr>
        <w:t xml:space="preserve"> спецтехники и прочие услуги</w:t>
      </w:r>
      <w:r>
        <w:rPr>
          <w:rFonts w:ascii="Times New Roman" w:hAnsi="Times New Roman"/>
          <w:sz w:val="28"/>
        </w:rPr>
        <w:t>, оказываемые МП «Магнитогорский городской транспорт»</w:t>
      </w:r>
      <w:r>
        <w:rPr>
          <w:rFonts w:ascii="Times New Roman" w:hAnsi="Times New Roman"/>
          <w:sz w:val="28"/>
        </w:rPr>
        <w:t xml:space="preserve"> (приложение №1).</w:t>
      </w:r>
    </w:p>
    <w:p w14:paraId="18000000">
      <w:pPr>
        <w:pStyle w:val="Style_4"/>
        <w:numPr>
          <w:ilvl w:val="0"/>
          <w:numId w:val="1"/>
        </w:numPr>
        <w:tabs>
          <w:tab w:leader="none" w:pos="1134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 тарифы </w:t>
      </w:r>
      <w:r>
        <w:rPr>
          <w:rFonts w:ascii="Times New Roman" w:hAnsi="Times New Roman"/>
          <w:sz w:val="28"/>
        </w:rPr>
        <w:t xml:space="preserve">на услуги спецтехники и прочие услуги, оказываемые МП «Магнитогорский городской транспорт»,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едеральными законами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закупках товаров, работ, услуг отдельными видами юридических лиц»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(приложение №2).</w:t>
      </w:r>
    </w:p>
    <w:p w14:paraId="19000000">
      <w:pPr>
        <w:pStyle w:val="Style_3"/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color w:val="000000"/>
          <w:sz w:val="28"/>
        </w:rPr>
        <w:t>после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A000000">
      <w:pPr>
        <w:pStyle w:val="Style_3"/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</w:p>
    <w:p w14:paraId="1B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1C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28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.Н. Бердников</w:t>
      </w:r>
    </w:p>
    <w:p w14:paraId="1F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28" w:lineRule="auto"/>
        <w:ind/>
        <w:rPr>
          <w:rFonts w:ascii="Times New Roman" w:hAnsi="Times New Roman"/>
        </w:rPr>
      </w:pPr>
    </w:p>
    <w:p w14:paraId="21000000">
      <w:pPr>
        <w:sectPr>
          <w:headerReference r:id="rId1" w:type="default"/>
          <w:headerReference r:id="rId7" w:type="first"/>
          <w:footerReference r:id="rId8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2000000">
      <w:pPr>
        <w:spacing w:after="0" w:line="240" w:lineRule="auto"/>
        <w:ind w:hanging="1977" w:left="7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№1 </w:t>
      </w:r>
    </w:p>
    <w:p w14:paraId="23000000">
      <w:pPr>
        <w:spacing w:after="0" w:line="240" w:lineRule="auto"/>
        <w:ind w:hanging="1977" w:left="7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4000000">
      <w:pPr>
        <w:spacing w:after="0" w:line="240" w:lineRule="auto"/>
        <w:ind w:hanging="1977" w:left="7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5000000">
      <w:pPr>
        <w:spacing w:after="0" w:line="240" w:lineRule="auto"/>
        <w:ind w:hanging="1977" w:left="7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13.02.2025 № 1366-П</w:t>
      </w:r>
    </w:p>
    <w:p w14:paraId="26000000">
      <w:pPr>
        <w:spacing w:after="0" w:line="240" w:lineRule="auto"/>
        <w:ind w:hanging="2685" w:left="7080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8000000">
      <w:pPr>
        <w:pStyle w:val="Style_3"/>
        <w:widowControl w:val="0"/>
        <w:tabs>
          <w:tab w:leader="none" w:pos="709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услуги спецтехники и прочие услуги, оказываемые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МП «Магнитогорский городской транспорт»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без учета НДС</w:t>
      </w:r>
      <w:r>
        <w:rPr>
          <w:rFonts w:ascii="Times New Roman" w:hAnsi="Times New Roman"/>
          <w:sz w:val="28"/>
        </w:rPr>
        <w:t>)</w:t>
      </w:r>
    </w:p>
    <w:p w14:paraId="29000000">
      <w:pPr>
        <w:pStyle w:val="Style_3"/>
        <w:widowControl w:val="0"/>
        <w:tabs>
          <w:tab w:leader="none" w:pos="709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4"/>
        <w:gridCol w:w="4082"/>
        <w:gridCol w:w="2217"/>
        <w:gridCol w:w="2528"/>
      </w:tblGrid>
      <w:tr>
        <w:trPr>
          <w:trHeight w:hRule="atLeast" w:val="1076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услуги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Тариф за единицу услуги,</w:t>
            </w:r>
          </w:p>
          <w:p w14:paraId="2E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>
        <w:trPr>
          <w:trHeight w:hRule="atLeast" w:val="448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Услуги спецтехники: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67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40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ЗИЛ-131 ПАРМ М1</w:t>
            </w:r>
          </w:p>
        </w:tc>
        <w:tc>
          <w:tcPr>
            <w:tcW w:type="dxa" w:w="22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машино-час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1 858,33</w:t>
            </w:r>
          </w:p>
        </w:tc>
      </w:tr>
      <w:tr>
        <w:trPr>
          <w:trHeight w:hRule="atLeast" w:val="67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40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МТЗ-82 (колесный трактор)</w:t>
            </w:r>
          </w:p>
        </w:tc>
        <w:tc>
          <w:tcPr>
            <w:tcW w:type="dxa" w:w="22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мото</w:t>
            </w:r>
            <w:r>
              <w:rPr>
                <w:rFonts w:ascii="Times New Roman" w:hAnsi="Times New Roman"/>
                <w:sz w:val="28"/>
              </w:rPr>
              <w:t>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1 775,00</w:t>
            </w:r>
          </w:p>
        </w:tc>
      </w:tr>
      <w:tr>
        <w:trPr>
          <w:trHeight w:hRule="atLeast" w:val="67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40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КАМАЗ-65115-50</w:t>
            </w:r>
          </w:p>
        </w:tc>
        <w:tc>
          <w:tcPr>
            <w:tcW w:type="dxa" w:w="22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машино-час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3 091,67</w:t>
            </w:r>
          </w:p>
        </w:tc>
      </w:tr>
      <w:tr>
        <w:trPr>
          <w:trHeight w:hRule="atLeast" w:val="67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40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Автогрейдер ГС-14.02</w:t>
            </w:r>
          </w:p>
        </w:tc>
        <w:tc>
          <w:tcPr>
            <w:tcW w:type="dxa" w:w="22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мото</w:t>
            </w:r>
            <w:r>
              <w:rPr>
                <w:rFonts w:ascii="Times New Roman" w:hAnsi="Times New Roman"/>
                <w:sz w:val="28"/>
              </w:rPr>
              <w:t>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2 291,67</w:t>
            </w:r>
          </w:p>
        </w:tc>
      </w:tr>
      <w:tr>
        <w:trPr>
          <w:trHeight w:hRule="atLeast" w:val="67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40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Автогрейдер ДЗ -98Б</w:t>
            </w:r>
          </w:p>
        </w:tc>
        <w:tc>
          <w:tcPr>
            <w:tcW w:type="dxa" w:w="22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мото</w:t>
            </w:r>
            <w:r>
              <w:rPr>
                <w:rFonts w:ascii="Times New Roman" w:hAnsi="Times New Roman"/>
                <w:sz w:val="28"/>
              </w:rPr>
              <w:t>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2 108,33</w:t>
            </w:r>
          </w:p>
        </w:tc>
      </w:tr>
      <w:tr>
        <w:trPr>
          <w:trHeight w:hRule="atLeast" w:val="67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type="dxa" w:w="40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КАМАЗ - 5410 с полуприцепом АВ8</w:t>
            </w:r>
          </w:p>
        </w:tc>
        <w:tc>
          <w:tcPr>
            <w:tcW w:type="dxa" w:w="22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машино-час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2 350,00</w:t>
            </w:r>
          </w:p>
        </w:tc>
      </w:tr>
      <w:tr>
        <w:trPr>
          <w:trHeight w:hRule="atLeast" w:val="67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type="dxa" w:w="40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УРАЛ КС-45717-2 (автокран)</w:t>
            </w:r>
          </w:p>
        </w:tc>
        <w:tc>
          <w:tcPr>
            <w:tcW w:type="dxa" w:w="22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машино-час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4 100,00</w:t>
            </w:r>
          </w:p>
        </w:tc>
      </w:tr>
      <w:tr>
        <w:trPr>
          <w:trHeight w:hRule="atLeast" w:val="67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type="dxa" w:w="40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УРАЛ 4320-011 (тех. помощь)</w:t>
            </w:r>
          </w:p>
        </w:tc>
        <w:tc>
          <w:tcPr>
            <w:tcW w:type="dxa" w:w="22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машино-час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1 925,00</w:t>
            </w:r>
          </w:p>
        </w:tc>
      </w:tr>
      <w:tr>
        <w:trPr>
          <w:trHeight w:hRule="atLeast" w:val="67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type="dxa" w:w="40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ГАЗ </w:t>
            </w:r>
            <w:r>
              <w:rPr>
                <w:rFonts w:ascii="Times New Roman" w:hAnsi="Times New Roman"/>
                <w:color w:val="000000"/>
                <w:sz w:val="26"/>
              </w:rPr>
              <w:t>GAZelle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NEXT А22R 23 (аварийная)</w:t>
            </w:r>
          </w:p>
        </w:tc>
        <w:tc>
          <w:tcPr>
            <w:tcW w:type="dxa" w:w="22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машино-час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1 850,00</w:t>
            </w:r>
          </w:p>
        </w:tc>
      </w:tr>
      <w:tr>
        <w:trPr>
          <w:trHeight w:hRule="atLeast" w:val="67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type="dxa" w:w="40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ГАЗ 27978F (автомастерская)</w:t>
            </w:r>
          </w:p>
        </w:tc>
        <w:tc>
          <w:tcPr>
            <w:tcW w:type="dxa" w:w="22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машино-час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2 375,00</w:t>
            </w:r>
          </w:p>
        </w:tc>
      </w:tr>
      <w:tr>
        <w:trPr>
          <w:trHeight w:hRule="atLeast" w:val="67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</w:p>
        </w:tc>
        <w:tc>
          <w:tcPr>
            <w:tcW w:type="dxa" w:w="40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ГАЗ 3307 АПТ-17М П-71 (автовышка)</w:t>
            </w:r>
          </w:p>
        </w:tc>
        <w:tc>
          <w:tcPr>
            <w:tcW w:type="dxa" w:w="22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машино-час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1 766,67</w:t>
            </w:r>
          </w:p>
        </w:tc>
      </w:tr>
      <w:tr>
        <w:trPr>
          <w:trHeight w:hRule="atLeast" w:val="67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</w:t>
            </w:r>
          </w:p>
        </w:tc>
        <w:tc>
          <w:tcPr>
            <w:tcW w:type="dxa" w:w="40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ВТК 27П КАМАЗ 4310 грузовой автомобиль (автовышка)</w:t>
            </w:r>
          </w:p>
        </w:tc>
        <w:tc>
          <w:tcPr>
            <w:tcW w:type="dxa" w:w="22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машино-час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2 433,33</w:t>
            </w:r>
          </w:p>
        </w:tc>
      </w:tr>
      <w:tr>
        <w:trPr>
          <w:trHeight w:hRule="atLeast" w:val="67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JCB 3 СХ (экскаватор погрузчик)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мото</w:t>
            </w:r>
            <w:r>
              <w:rPr>
                <w:rFonts w:ascii="Times New Roman" w:hAnsi="Times New Roman"/>
                <w:sz w:val="28"/>
              </w:rPr>
              <w:t>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3 125,00</w:t>
            </w:r>
          </w:p>
        </w:tc>
      </w:tr>
      <w:tr>
        <w:trPr>
          <w:trHeight w:hRule="atLeast" w:val="67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КАМАЗ- 5320 (бортовой 10 т) 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машино-час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1 666,67</w:t>
            </w:r>
          </w:p>
        </w:tc>
      </w:tr>
      <w:tr>
        <w:trPr>
          <w:trHeight w:hRule="atLeast" w:val="67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КАМАЗ-65115-А5  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машино-час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2 808,33</w:t>
            </w:r>
          </w:p>
        </w:tc>
      </w:tr>
      <w:tr>
        <w:trPr>
          <w:trHeight w:hRule="atLeast" w:val="67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Беларус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82.1 МК05 машина коммунальная 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мото</w:t>
            </w:r>
            <w:r>
              <w:rPr>
                <w:rFonts w:ascii="Times New Roman" w:hAnsi="Times New Roman"/>
                <w:sz w:val="28"/>
              </w:rPr>
              <w:t>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2 083,33</w:t>
            </w:r>
          </w:p>
        </w:tc>
      </w:tr>
      <w:tr>
        <w:trPr>
          <w:trHeight w:hRule="atLeast" w:val="448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Машина универсальная МСШУ-5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мото</w:t>
            </w:r>
            <w:r>
              <w:rPr>
                <w:rFonts w:ascii="Times New Roman" w:hAnsi="Times New Roman"/>
                <w:sz w:val="28"/>
              </w:rPr>
              <w:t>-час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2 808,33</w:t>
            </w:r>
          </w:p>
        </w:tc>
      </w:tr>
      <w:tr>
        <w:trPr>
          <w:trHeight w:hRule="atLeast" w:val="448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Прочие услуги: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953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Проведение </w:t>
            </w:r>
            <w:r>
              <w:rPr>
                <w:rFonts w:ascii="Times New Roman" w:hAnsi="Times New Roman"/>
                <w:sz w:val="26"/>
              </w:rPr>
              <w:t>пред</w:t>
            </w:r>
            <w:bookmarkStart w:id="1" w:name="_GoBack"/>
            <w:bookmarkEnd w:id="1"/>
            <w:r>
              <w:rPr>
                <w:rFonts w:ascii="Times New Roman" w:hAnsi="Times New Roman"/>
                <w:sz w:val="26"/>
              </w:rPr>
              <w:t>рейсовых</w:t>
            </w:r>
            <w:r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послерейсовых</w:t>
            </w:r>
            <w:r>
              <w:rPr>
                <w:rFonts w:ascii="Times New Roman" w:hAnsi="Times New Roman"/>
                <w:sz w:val="26"/>
              </w:rPr>
              <w:t>) медицинских осмотров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48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tabs>
                <w:tab w:leader="none" w:pos="709" w:val="left"/>
              </w:tabs>
              <w:spacing w:after="0" w:line="240" w:lineRule="auto"/>
              <w:ind w:firstLine="31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будние дни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человек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41,67</w:t>
            </w:r>
          </w:p>
        </w:tc>
      </w:tr>
      <w:tr>
        <w:trPr>
          <w:trHeight w:hRule="atLeast" w:val="448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tabs>
                <w:tab w:leader="none" w:pos="709" w:val="left"/>
              </w:tabs>
              <w:spacing w:after="0" w:line="240" w:lineRule="auto"/>
              <w:ind w:firstLine="31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выходные и праздничные дни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человек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45,83</w:t>
            </w:r>
          </w:p>
        </w:tc>
      </w:tr>
      <w:tr>
        <w:trPr>
          <w:trHeight w:hRule="atLeast" w:val="1008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6"/>
              </w:rPr>
              <w:t>предсменного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6"/>
              </w:rPr>
              <w:t>предрейсового</w:t>
            </w:r>
            <w:r>
              <w:rPr>
                <w:rFonts w:ascii="Times New Roman" w:hAnsi="Times New Roman"/>
                <w:color w:val="000000"/>
                <w:sz w:val="26"/>
              </w:rPr>
              <w:t>) технического осмотра транспортного средства</w:t>
            </w:r>
          </w:p>
        </w:tc>
        <w:tc>
          <w:tcPr>
            <w:tcW w:type="dxa" w:w="22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транспортное средство</w:t>
            </w:r>
          </w:p>
        </w:tc>
        <w:tc>
          <w:tcPr>
            <w:tcW w:type="dxa" w:w="2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145,83</w:t>
            </w:r>
          </w:p>
        </w:tc>
      </w:tr>
      <w:tr>
        <w:trPr>
          <w:trHeight w:hRule="atLeast" w:val="123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</w:p>
        </w:tc>
        <w:tc>
          <w:tcPr>
            <w:tcW w:type="dxa" w:w="40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Согласование проектной документации по размещению волоконно-оптического кабеля линии связи</w:t>
            </w:r>
          </w:p>
        </w:tc>
        <w:tc>
          <w:tcPr>
            <w:tcW w:type="dxa" w:w="22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 заявка</w:t>
            </w:r>
          </w:p>
        </w:tc>
        <w:tc>
          <w:tcPr>
            <w:tcW w:type="dxa" w:w="25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2 720,83</w:t>
            </w:r>
          </w:p>
        </w:tc>
      </w:tr>
      <w:tr>
        <w:trPr>
          <w:trHeight w:hRule="atLeast" w:val="1232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</w:t>
            </w:r>
          </w:p>
        </w:tc>
        <w:tc>
          <w:tcPr>
            <w:tcW w:type="dxa" w:w="40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Составление и согласование технических условий по размещению волоконно-оптического кабеля линии связи</w:t>
            </w:r>
          </w:p>
        </w:tc>
        <w:tc>
          <w:tcPr>
            <w:tcW w:type="dxa" w:w="22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 заявка</w:t>
            </w:r>
          </w:p>
        </w:tc>
        <w:tc>
          <w:tcPr>
            <w:tcW w:type="dxa" w:w="25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3 470,83</w:t>
            </w:r>
          </w:p>
        </w:tc>
      </w:tr>
    </w:tbl>
    <w:p w14:paraId="94000000">
      <w:pPr>
        <w:sectPr>
          <w:headerReference r:id="rId2" w:type="default"/>
          <w:headerReference r:id="rId5" w:type="first"/>
          <w:footerReference r:id="rId6" w:type="first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p w14:paraId="95000000">
      <w:pPr>
        <w:spacing w:after="0" w:line="240" w:lineRule="auto"/>
        <w:ind w:firstLine="4398" w:left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№2</w:t>
      </w:r>
    </w:p>
    <w:p w14:paraId="96000000">
      <w:pPr>
        <w:spacing w:after="0" w:line="240" w:lineRule="auto"/>
        <w:ind w:firstLine="4398" w:left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97000000">
      <w:pPr>
        <w:spacing w:after="0" w:line="240" w:lineRule="auto"/>
        <w:ind w:firstLine="5103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98000000">
      <w:pPr>
        <w:spacing w:after="0" w:line="240" w:lineRule="auto"/>
        <w:ind w:firstLine="4398" w:left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13.02.2025 № 1366-П</w:t>
      </w:r>
    </w:p>
    <w:p w14:paraId="99000000">
      <w:pPr>
        <w:spacing w:after="0" w:line="240" w:lineRule="auto"/>
        <w:ind w:firstLine="3690" w:left="705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 w:firstLine="0" w:left="705"/>
        <w:jc w:val="both"/>
        <w:rPr>
          <w:rFonts w:ascii="Times New Roman" w:hAnsi="Times New Roman"/>
          <w:sz w:val="28"/>
        </w:rPr>
      </w:pPr>
    </w:p>
    <w:p w14:paraId="9B000000">
      <w:pPr>
        <w:spacing w:after="0" w:line="240" w:lineRule="auto"/>
        <w:ind w:firstLine="0" w:left="705"/>
        <w:jc w:val="both"/>
        <w:rPr>
          <w:rFonts w:ascii="Times New Roman" w:hAnsi="Times New Roman"/>
          <w:sz w:val="28"/>
        </w:rPr>
      </w:pPr>
    </w:p>
    <w:p w14:paraId="9C000000">
      <w:pPr>
        <w:pStyle w:val="Style_3"/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услуги спецтехники и прочие услуги, оказываемые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МП «Магнитогорский городской транспорт», в соответствии с Федеральными законами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закупках товаров, работ, услуг отдельными видами юридических </w:t>
      </w:r>
      <w:r>
        <w:rPr>
          <w:rFonts w:ascii="Times New Roman" w:hAnsi="Times New Roman"/>
          <w:sz w:val="28"/>
        </w:rPr>
        <w:t>лиц»</w:t>
      </w:r>
    </w:p>
    <w:p w14:paraId="9D000000">
      <w:pPr>
        <w:pStyle w:val="Style_3"/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(без учета НДС):</w:t>
      </w:r>
    </w:p>
    <w:p w14:paraId="9E000000">
      <w:pPr>
        <w:pStyle w:val="Style_3"/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1"/>
        <w:gridCol w:w="3578"/>
        <w:gridCol w:w="1754"/>
        <w:gridCol w:w="1677"/>
        <w:gridCol w:w="1773"/>
      </w:tblGrid>
      <w:tr>
        <w:trPr>
          <w:trHeight w:hRule="atLeast" w:val="737"/>
          <w:tblHeader/>
        </w:trPr>
        <w:tc>
          <w:tcPr>
            <w:tcW w:type="dxa" w:w="6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5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услуги</w:t>
            </w:r>
          </w:p>
        </w:tc>
        <w:tc>
          <w:tcPr>
            <w:tcW w:type="dxa" w:w="17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</w:tc>
        <w:tc>
          <w:tcPr>
            <w:tcW w:type="dxa" w:w="34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Тарифы за единицу услуги,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>
        <w:trPr>
          <w:trHeight w:hRule="atLeast" w:val="964"/>
          <w:tblHeader/>
        </w:trPr>
        <w:tc>
          <w:tcPr>
            <w:tcW w:type="dxa" w:w="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предельные минимальные тарифы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предельные максимальные тарифы</w:t>
            </w:r>
          </w:p>
        </w:tc>
      </w:tr>
      <w:tr>
        <w:trPr>
          <w:trHeight w:hRule="atLeast" w:val="511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 w:firstLine="20"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 w:firstLine="2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Услуги спецтехники: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439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ЗИЛ-131 ПАРМ М1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  <w:sz w:val="26"/>
                <w:highlight w:val="yellow"/>
              </w:rPr>
            </w:pPr>
            <w:r>
              <w:rPr>
                <w:rFonts w:ascii="Times New Roman" w:hAnsi="Times New Roman"/>
                <w:sz w:val="26"/>
              </w:rPr>
              <w:t>1 машино-час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1 091,67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1 858,33 </w:t>
            </w:r>
          </w:p>
        </w:tc>
      </w:tr>
      <w:tr>
        <w:trPr>
          <w:trHeight w:hRule="atLeast" w:val="439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МТЗ-82 (колесный трактор)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  <w:sz w:val="26"/>
                <w:highlight w:val="yellow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  <w:r>
              <w:rPr>
                <w:rFonts w:ascii="Times New Roman" w:hAnsi="Times New Roman"/>
                <w:sz w:val="26"/>
              </w:rPr>
              <w:t>мото</w:t>
            </w:r>
            <w:r>
              <w:rPr>
                <w:rFonts w:ascii="Times New Roman" w:hAnsi="Times New Roman"/>
                <w:sz w:val="26"/>
              </w:rPr>
              <w:t>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1 045,00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1 775,00</w:t>
            </w:r>
          </w:p>
        </w:tc>
      </w:tr>
      <w:tr>
        <w:trPr>
          <w:trHeight w:hRule="atLeast" w:val="439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Камаз-65115-50 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rFonts w:ascii="Times New Roman" w:hAnsi="Times New Roman"/>
                <w:sz w:val="26"/>
                <w:highlight w:val="yellow"/>
              </w:rPr>
            </w:pPr>
            <w:r>
              <w:rPr>
                <w:rFonts w:ascii="Times New Roman" w:hAnsi="Times New Roman"/>
                <w:sz w:val="26"/>
              </w:rPr>
              <w:t>1 машино-час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1 818,33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3 091,67</w:t>
            </w:r>
          </w:p>
        </w:tc>
      </w:tr>
      <w:tr>
        <w:trPr>
          <w:trHeight w:hRule="atLeast" w:val="439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Автогрейдер ГС-14.02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  <w:r>
              <w:rPr>
                <w:rFonts w:ascii="Times New Roman" w:hAnsi="Times New Roman"/>
                <w:sz w:val="26"/>
              </w:rPr>
              <w:t>мото</w:t>
            </w:r>
            <w:r>
              <w:rPr>
                <w:rFonts w:ascii="Times New Roman" w:hAnsi="Times New Roman"/>
                <w:sz w:val="26"/>
              </w:rPr>
              <w:t>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1 349,17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2 291,67</w:t>
            </w:r>
          </w:p>
        </w:tc>
      </w:tr>
      <w:tr>
        <w:trPr>
          <w:trHeight w:hRule="atLeast" w:val="439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Автогрейдер ДЗ -98Б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  <w:r>
              <w:rPr>
                <w:rFonts w:ascii="Times New Roman" w:hAnsi="Times New Roman"/>
                <w:sz w:val="26"/>
              </w:rPr>
              <w:t>мото</w:t>
            </w:r>
            <w:r>
              <w:rPr>
                <w:rFonts w:ascii="Times New Roman" w:hAnsi="Times New Roman"/>
                <w:sz w:val="26"/>
              </w:rPr>
              <w:t>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1 240,00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2 108,33</w:t>
            </w:r>
          </w:p>
        </w:tc>
      </w:tr>
      <w:tr>
        <w:trPr>
          <w:trHeight w:hRule="atLeast" w:val="707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КАМАЗ - 5410 с полуприцепом АВ8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sz w:val="26"/>
                <w:highlight w:val="yellow"/>
              </w:rPr>
            </w:pPr>
            <w:r>
              <w:rPr>
                <w:rFonts w:ascii="Times New Roman" w:hAnsi="Times New Roman"/>
                <w:sz w:val="26"/>
              </w:rPr>
              <w:t>1 машино-час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1 384,17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2 350,00</w:t>
            </w:r>
          </w:p>
        </w:tc>
      </w:tr>
      <w:tr>
        <w:trPr>
          <w:trHeight w:hRule="atLeast" w:val="416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УРАЛ КС-45717-2 (автокран)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sz w:val="26"/>
                <w:highlight w:val="yellow"/>
              </w:rPr>
            </w:pPr>
            <w:r>
              <w:rPr>
                <w:rFonts w:ascii="Times New Roman" w:hAnsi="Times New Roman"/>
                <w:sz w:val="26"/>
              </w:rPr>
              <w:t>1 машино-час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2 411,67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4 100,00</w:t>
            </w:r>
          </w:p>
        </w:tc>
      </w:tr>
      <w:tr>
        <w:trPr>
          <w:trHeight w:hRule="atLeast" w:val="416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УРАЛ 4320-011 (тех. помощь)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26"/>
                <w:highlight w:val="yellow"/>
              </w:rPr>
            </w:pPr>
            <w:r>
              <w:rPr>
                <w:rFonts w:ascii="Times New Roman" w:hAnsi="Times New Roman"/>
                <w:sz w:val="26"/>
              </w:rPr>
              <w:t>1 машино-час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1 131,67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1 925,00</w:t>
            </w:r>
          </w:p>
        </w:tc>
      </w:tr>
      <w:tr>
        <w:trPr>
          <w:trHeight w:hRule="atLeast" w:val="707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ГАЗ </w:t>
            </w:r>
            <w:r>
              <w:rPr>
                <w:rFonts w:ascii="Times New Roman" w:hAnsi="Times New Roman"/>
                <w:sz w:val="26"/>
              </w:rPr>
              <w:t>GAZelle</w:t>
            </w:r>
            <w:r>
              <w:rPr>
                <w:rFonts w:ascii="Times New Roman" w:hAnsi="Times New Roman"/>
                <w:sz w:val="26"/>
              </w:rPr>
              <w:t xml:space="preserve"> NEXT А22R 23 (аварийная)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машино-час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1 088,33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1 850,00</w:t>
            </w:r>
          </w:p>
        </w:tc>
      </w:tr>
      <w:tr>
        <w:trPr>
          <w:trHeight w:hRule="atLeast" w:val="464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ГАЗ 27978F (автомастерская) 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машино-час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1 396,67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2 375,00</w:t>
            </w:r>
          </w:p>
        </w:tc>
      </w:tr>
      <w:tr>
        <w:trPr>
          <w:trHeight w:hRule="atLeast" w:val="707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ГАЗ 3307 АПТ-17М П-71 (автовышка) 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машино-час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1 039,17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1 766,67</w:t>
            </w:r>
          </w:p>
        </w:tc>
      </w:tr>
      <w:tr>
        <w:trPr>
          <w:trHeight w:hRule="atLeast" w:val="1013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ВТК 27П КАМАЗ 4310 грузовой автомобиль (автовышка)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машино-час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1 434,17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2 433,33</w:t>
            </w:r>
          </w:p>
        </w:tc>
      </w:tr>
      <w:tr>
        <w:trPr>
          <w:trHeight w:hRule="atLeast" w:val="707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JCB 3 СХ (экскаватор погрузчик)  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  <w:r>
              <w:rPr>
                <w:rFonts w:ascii="Times New Roman" w:hAnsi="Times New Roman"/>
                <w:sz w:val="26"/>
              </w:rPr>
              <w:t>мото</w:t>
            </w:r>
            <w:r>
              <w:rPr>
                <w:rFonts w:ascii="Times New Roman" w:hAnsi="Times New Roman"/>
                <w:sz w:val="26"/>
              </w:rPr>
              <w:t>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1 840,00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3 125,00</w:t>
            </w:r>
          </w:p>
        </w:tc>
      </w:tr>
      <w:tr>
        <w:trPr>
          <w:trHeight w:hRule="atLeast" w:val="408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КАМАЗ-5320 (бортовой 10 т) 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машино-час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982,50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1 666,67</w:t>
            </w:r>
          </w:p>
        </w:tc>
      </w:tr>
      <w:tr>
        <w:trPr>
          <w:trHeight w:hRule="atLeast" w:val="408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КАМАЗ-65115-А5  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машино-час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1 652,50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2 808,33</w:t>
            </w:r>
          </w:p>
        </w:tc>
      </w:tr>
      <w:tr>
        <w:trPr>
          <w:trHeight w:hRule="atLeast" w:val="707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Беларус</w:t>
            </w:r>
            <w:r>
              <w:rPr>
                <w:rFonts w:ascii="Times New Roman" w:hAnsi="Times New Roman"/>
                <w:sz w:val="26"/>
              </w:rPr>
              <w:t xml:space="preserve"> 82.1 МК05 машина коммунальная 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  <w:r>
              <w:rPr>
                <w:rFonts w:ascii="Times New Roman" w:hAnsi="Times New Roman"/>
                <w:sz w:val="26"/>
              </w:rPr>
              <w:t>мото</w:t>
            </w:r>
            <w:r>
              <w:rPr>
                <w:rFonts w:ascii="Times New Roman" w:hAnsi="Times New Roman"/>
                <w:sz w:val="26"/>
              </w:rPr>
              <w:t>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1 223,33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2 083,33</w:t>
            </w:r>
          </w:p>
        </w:tc>
      </w:tr>
      <w:tr>
        <w:trPr>
          <w:trHeight w:hRule="atLeast" w:val="707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Машина универсальная МСШУ-5 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  <w:r>
              <w:rPr>
                <w:rFonts w:ascii="Times New Roman" w:hAnsi="Times New Roman"/>
                <w:sz w:val="26"/>
              </w:rPr>
              <w:t>мото</w:t>
            </w:r>
            <w:r>
              <w:rPr>
                <w:rFonts w:ascii="Times New Roman" w:hAnsi="Times New Roman"/>
                <w:sz w:val="26"/>
              </w:rPr>
              <w:t>-час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1 654,17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2 808,33</w:t>
            </w:r>
          </w:p>
        </w:tc>
      </w:tr>
      <w:tr>
        <w:trPr>
          <w:trHeight w:hRule="atLeast" w:val="458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Прочие услуги: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960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tabs>
                <w:tab w:leader="none" w:pos="709" w:val="left"/>
              </w:tabs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tabs>
                <w:tab w:leader="none" w:pos="709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Проведение </w:t>
            </w:r>
            <w:r>
              <w:rPr>
                <w:rFonts w:ascii="Times New Roman" w:hAnsi="Times New Roman"/>
                <w:sz w:val="26"/>
              </w:rPr>
              <w:t>предрейсовых</w:t>
            </w:r>
            <w:r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послерейсовых</w:t>
            </w:r>
            <w:r>
              <w:rPr>
                <w:rFonts w:ascii="Times New Roman" w:hAnsi="Times New Roman"/>
                <w:sz w:val="26"/>
              </w:rPr>
              <w:t>) медицинских осмотров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405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tabs>
                <w:tab w:leader="none" w:pos="709" w:val="left"/>
              </w:tabs>
              <w:spacing w:after="0"/>
              <w:ind w:firstLine="283"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tabs>
                <w:tab w:leader="none" w:pos="709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будние дни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человек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36,67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41,67</w:t>
            </w:r>
          </w:p>
        </w:tc>
      </w:tr>
      <w:tr>
        <w:trPr>
          <w:trHeight w:hRule="atLeast" w:val="720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tabs>
                <w:tab w:leader="none" w:pos="709" w:val="left"/>
              </w:tabs>
              <w:spacing w:after="0"/>
              <w:ind w:firstLine="283"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tabs>
                <w:tab w:leader="none" w:pos="709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z w:val="26"/>
              </w:rPr>
              <w:t xml:space="preserve"> выходные и праздничные</w:t>
            </w:r>
          </w:p>
          <w:p w14:paraId="10010000">
            <w:pPr>
              <w:tabs>
                <w:tab w:leader="none" w:pos="709" w:val="left"/>
              </w:tabs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дни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человек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36,67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45,83</w:t>
            </w:r>
          </w:p>
        </w:tc>
      </w:tr>
      <w:tr>
        <w:trPr>
          <w:trHeight w:hRule="atLeast" w:val="1290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</w:t>
            </w:r>
          </w:p>
        </w:tc>
        <w:tc>
          <w:tcPr>
            <w:tcW w:type="dxa" w:w="3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Проведение </w:t>
            </w:r>
            <w:r>
              <w:rPr>
                <w:rFonts w:ascii="Times New Roman" w:hAnsi="Times New Roman"/>
                <w:sz w:val="26"/>
              </w:rPr>
              <w:t>предсменного</w:t>
            </w:r>
            <w:r>
              <w:rPr>
                <w:rFonts w:ascii="Times New Roman" w:hAnsi="Times New Roman"/>
                <w:sz w:val="26"/>
              </w:rPr>
              <w:t xml:space="preserve"> (</w:t>
            </w:r>
            <w:r>
              <w:rPr>
                <w:rFonts w:ascii="Times New Roman" w:hAnsi="Times New Roman"/>
                <w:sz w:val="26"/>
              </w:rPr>
              <w:t>предрейсового</w:t>
            </w:r>
            <w:r>
              <w:rPr>
                <w:rFonts w:ascii="Times New Roman" w:hAnsi="Times New Roman"/>
                <w:sz w:val="26"/>
              </w:rPr>
              <w:t>) технического осмотра транспортного средства</w:t>
            </w:r>
          </w:p>
        </w:tc>
        <w:tc>
          <w:tcPr>
            <w:tcW w:type="dxa" w:w="1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spacing w:after="0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транспортное средство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112,50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145,83</w:t>
            </w:r>
          </w:p>
        </w:tc>
      </w:tr>
    </w:tbl>
    <w:p w14:paraId="19010000">
      <w:pPr>
        <w:pStyle w:val="Style_3"/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1A010000">
      <w:pPr>
        <w:rPr>
          <w:rFonts w:ascii="Times New Roman" w:hAnsi="Times New Roman"/>
          <w:sz w:val="28"/>
        </w:rPr>
      </w:pPr>
    </w:p>
    <w:sectPr>
      <w:headerReference r:id="rId9" w:type="default"/>
      <w:headerReference r:id="rId3" w:type="first"/>
      <w:footerReference r:id="rId4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Вр-2032156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Вр-2032156</w: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Вр-2032156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C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260" w:left="19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Balloon Text"/>
    <w:basedOn w:val="Style_6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6_ch"/>
    <w:link w:val="Style_21"/>
    <w:rPr>
      <w:rFonts w:ascii="Tahoma" w:hAnsi="Tahoma"/>
      <w:sz w:val="16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4" w:type="paragraph">
    <w:name w:val="No Spacing"/>
    <w:link w:val="Style_4_ch"/>
    <w:pPr>
      <w:spacing w:after="0" w:line="240" w:lineRule="auto"/>
      <w:ind/>
    </w:pPr>
  </w:style>
  <w:style w:styleId="Style_4_ch" w:type="character">
    <w:name w:val="No Spacing"/>
    <w:link w:val="Style_4"/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header5.xml" Type="http://schemas.openxmlformats.org/officeDocument/2006/relationships/header"/>
  <Relationship Id="rId11" Target="settings.xml" Type="http://schemas.openxmlformats.org/officeDocument/2006/relationships/settings"/>
  <Relationship Id="rId8" Target="footer8.xml" Type="http://schemas.openxmlformats.org/officeDocument/2006/relationships/footer"/>
  <Relationship Id="rId16" Target="numbering.xml" Type="http://schemas.openxmlformats.org/officeDocument/2006/relationships/numbering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2025-02-14T08:19:28Z</dcterms:modified>
</cp:coreProperties>
</file>