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757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разрешения на 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предельных 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Малькова А.А.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13.12.2024 № СИЭР:1430472</w:t>
      </w:r>
      <w:r>
        <w:rPr>
          <w:rFonts w:ascii="Times New Roman" w:hAnsi="Times New Roman"/>
          <w:sz w:val="28"/>
        </w:rPr>
        <w:t xml:space="preserve">, оповещения о начале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20.12.2024 № 143,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17.01.2025,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17.01.2025 № 5,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21.01.2025 № АГ-03/89),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подтверждения оснований по уменьшению отступов до 0 метров с западной и восточной стороны согласно предоставленному заключению на отклонение от предельных параметров объекта капитального строительства от 22.11.2024 № А-2713-24,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76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предоставлении разрешения </w:t>
      </w:r>
      <w:r>
        <w:rPr>
          <w:rFonts w:ascii="Times New Roman" w:hAnsi="Times New Roman"/>
          <w:sz w:val="28"/>
        </w:rPr>
        <w:t xml:space="preserve">на отклонение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предельных параметров разрешенного строительства, реконструкции объекта капитального строительства на отклонение от предельных параметров разрешенного строительства, реконструкции объекта капитального строительства (уменьшение отступов до 0 метров с западной и восточной стороны)</w:t>
      </w:r>
      <w:r>
        <w:rPr>
          <w:rFonts w:ascii="Times New Roman" w:hAnsi="Times New Roman"/>
          <w:color w:val="000000"/>
          <w:sz w:val="28"/>
        </w:rPr>
        <w:t xml:space="preserve"> на земельном участке, из категории земель: земли населенных пунктов (территориальная зона ПК-1, зона производственно-складских </w:t>
      </w:r>
      <w:r>
        <w:rPr>
          <w:rFonts w:ascii="Times New Roman" w:hAnsi="Times New Roman"/>
          <w:color w:val="000000"/>
          <w:sz w:val="28"/>
        </w:rPr>
        <w:t xml:space="preserve">объектов, 74:33-6.367 ЗОУИТ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санитарно-защитная зона для левобережного промышленного узла г. Магнитогорск, с учетом перспективы развития предприятия ПАО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ММК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 с кадастровым номером 74:33:1331001:1675, расположенном: Челябинская область, г. Магнитогорск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numPr>
          <w:ilvl w:val="0"/>
          <w:numId w:val="2"/>
        </w:numPr>
        <w:tabs>
          <w:tab w:leader="none" w:pos="284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Магнитогорска в сети Интернет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3"/>
        </w:numPr>
        <w:tabs>
          <w:tab w:leader="none" w:pos="284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4"/>
        </w:numPr>
        <w:tabs>
          <w:tab w:leader="none" w:pos="284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Вр-2024900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List"/>
    <w:basedOn w:val="Style_12"/>
    <w:link w:val="Style_13_ch"/>
    <w:rPr>
      <w:rFonts w:ascii="PT Astra Serif" w:hAnsi="PT Astra Serif"/>
    </w:rPr>
  </w:style>
  <w:style w:styleId="Style_13_ch" w:type="character">
    <w:name w:val="List"/>
    <w:basedOn w:val="Style_12_ch"/>
    <w:link w:val="Style_13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index heading"/>
    <w:basedOn w:val="Style_3"/>
    <w:link w:val="Style_15_ch"/>
    <w:rPr>
      <w:rFonts w:ascii="PT Astra Serif" w:hAnsi="PT Astra Serif"/>
    </w:rPr>
  </w:style>
  <w:style w:styleId="Style_15_ch" w:type="character">
    <w:name w:val="index heading"/>
    <w:basedOn w:val="Style_3_ch"/>
    <w:link w:val="Style_15"/>
    <w:rPr>
      <w:rFonts w:ascii="PT Astra Serif" w:hAnsi="PT Astra Serif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Колонтитул"/>
    <w:basedOn w:val="Style_3"/>
    <w:link w:val="Style_22_ch"/>
  </w:style>
  <w:style w:styleId="Style_22_ch" w:type="character">
    <w:name w:val="Колонтитул"/>
    <w:basedOn w:val="Style_3_ch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12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aption"/>
    <w:basedOn w:val="Style_3"/>
    <w:link w:val="Style_29_ch"/>
    <w:pPr>
      <w:spacing w:after="120" w:before="120"/>
      <w:ind/>
    </w:pPr>
    <w:rPr>
      <w:rFonts w:ascii="PT Astra Serif" w:hAnsi="PT Astra Serif"/>
      <w:i w:val="1"/>
      <w:sz w:val="24"/>
    </w:rPr>
  </w:style>
  <w:style w:styleId="Style_29_ch" w:type="character">
    <w:name w:val="caption"/>
    <w:basedOn w:val="Style_3_ch"/>
    <w:link w:val="Style_29"/>
    <w:rPr>
      <w:rFonts w:ascii="PT Astra Serif" w:hAnsi="PT Astra Serif"/>
      <w:i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2025-01-30T09:30:00Z</dcterms:modified>
</cp:coreProperties>
</file>