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0E34" w:rsidRDefault="005C0E34" w:rsidP="005C0E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5C0E34" w:rsidRDefault="005C0E34" w:rsidP="005C0E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5C0E34" w:rsidRDefault="005C0E34" w:rsidP="005C0E34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C0E34" w:rsidRDefault="005C0E34" w:rsidP="005C0E34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5C0E34" w:rsidRDefault="005C0E34" w:rsidP="005C0E34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16.02.2023   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№ 1566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8D31F2" w:rsidRPr="009332ED" w:rsidRDefault="008D31F2" w:rsidP="008D31F2">
      <w:pPr>
        <w:spacing w:after="0" w:line="240" w:lineRule="auto"/>
        <w:ind w:right="3968"/>
        <w:contextualSpacing/>
        <w:rPr>
          <w:rFonts w:ascii="Times New Roman" w:eastAsia="Calibri" w:hAnsi="Times New Roman" w:cs="Times New Roman"/>
          <w:sz w:val="28"/>
          <w:szCs w:val="26"/>
        </w:rPr>
      </w:pPr>
    </w:p>
    <w:p w:rsidR="00042EA3" w:rsidRPr="009332ED" w:rsidRDefault="00042EA3" w:rsidP="008D31F2">
      <w:pPr>
        <w:spacing w:after="0" w:line="240" w:lineRule="auto"/>
        <w:ind w:right="3968"/>
        <w:contextualSpacing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>О внесении изменени</w:t>
      </w:r>
      <w:r w:rsidR="00E60F44">
        <w:rPr>
          <w:rFonts w:ascii="Times New Roman" w:eastAsia="Calibri" w:hAnsi="Times New Roman" w:cs="Times New Roman"/>
          <w:sz w:val="26"/>
          <w:szCs w:val="26"/>
        </w:rPr>
        <w:t>я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в постановление администрации города 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>Магнитогорска от </w:t>
      </w:r>
      <w:r w:rsidRPr="009332ED">
        <w:rPr>
          <w:rFonts w:ascii="Times New Roman" w:eastAsia="Calibri" w:hAnsi="Times New Roman" w:cs="Times New Roman"/>
          <w:sz w:val="26"/>
          <w:szCs w:val="26"/>
        </w:rPr>
        <w:t>01.12.2022 №12968-П</w:t>
      </w:r>
    </w:p>
    <w:p w:rsidR="00042EA3" w:rsidRPr="009332ED" w:rsidRDefault="00042EA3" w:rsidP="008D31F2">
      <w:pPr>
        <w:spacing w:after="0" w:line="240" w:lineRule="auto"/>
        <w:contextualSpacing/>
        <w:rPr>
          <w:rFonts w:ascii="Times New Roman" w:eastAsia="Calibri" w:hAnsi="Times New Roman" w:cs="Times New Roman"/>
          <w:sz w:val="26"/>
          <w:szCs w:val="26"/>
        </w:rPr>
      </w:pPr>
    </w:p>
    <w:p w:rsidR="00042EA3" w:rsidRPr="009332ED" w:rsidRDefault="00042EA3" w:rsidP="008D31F2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В соответствии с пунктом 1 статьи 160.1 Бюджетного кодекса Российской Федерации, постановлением Правительства Российской Федерации от 23 июня 2016 года 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№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574 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«</w:t>
      </w:r>
      <w:r w:rsidRPr="009332ED">
        <w:rPr>
          <w:rFonts w:ascii="Times New Roman" w:eastAsia="Calibri" w:hAnsi="Times New Roman" w:cs="Times New Roman"/>
          <w:sz w:val="26"/>
          <w:szCs w:val="26"/>
        </w:rPr>
        <w:t>Об общих требованиях к методике прогнозирования поступлений доходов в бюджеты бюджетной системы Российской Федерации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»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, подпунктом 7 пункта 1 статьи 12 Положения о бюджетном процессе в городе Магнитогорске, утвержденного Решением Магнитогорского городского Собрания депутатов 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br/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от 30 марта 2021 года 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№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102, руководствуясь Уставом города Магнитогорска, </w:t>
      </w:r>
    </w:p>
    <w:p w:rsidR="00042EA3" w:rsidRPr="009332ED" w:rsidRDefault="00042EA3" w:rsidP="008D31F2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042EA3" w:rsidRPr="009332ED" w:rsidRDefault="00042EA3" w:rsidP="008D31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>ПОСТАНОВЛЯЮ:</w:t>
      </w:r>
    </w:p>
    <w:p w:rsidR="00042EA3" w:rsidRPr="009332ED" w:rsidRDefault="00042EA3" w:rsidP="008D31F2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>1.</w:t>
      </w:r>
      <w:r w:rsidRPr="009332ED">
        <w:rPr>
          <w:rFonts w:ascii="Times New Roman" w:eastAsia="Calibri" w:hAnsi="Times New Roman" w:cs="Times New Roman"/>
          <w:sz w:val="26"/>
          <w:szCs w:val="26"/>
        </w:rPr>
        <w:tab/>
        <w:t xml:space="preserve">Внести в постановление администрации города 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Магнитогорска 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br/>
      </w:r>
      <w:r w:rsidRPr="009332ED">
        <w:rPr>
          <w:rFonts w:ascii="Times New Roman" w:eastAsia="Calibri" w:hAnsi="Times New Roman" w:cs="Times New Roman"/>
          <w:sz w:val="26"/>
          <w:szCs w:val="26"/>
        </w:rPr>
        <w:t>от 01.12.2022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№</w:t>
      </w:r>
      <w:r w:rsidRPr="009332ED">
        <w:rPr>
          <w:rFonts w:ascii="Times New Roman" w:eastAsia="Calibri" w:hAnsi="Times New Roman" w:cs="Times New Roman"/>
          <w:sz w:val="26"/>
          <w:szCs w:val="26"/>
        </w:rPr>
        <w:t>12968-П «Об утверждении Методики прогнозирования поступлений доходов, администрируемых главными администраторами доходов бюджета города Магнитогорска, в бюджет города» (далее – постановление) изменени</w:t>
      </w:r>
      <w:r w:rsidR="00E60F44">
        <w:rPr>
          <w:rFonts w:ascii="Times New Roman" w:eastAsia="Calibri" w:hAnsi="Times New Roman" w:cs="Times New Roman"/>
          <w:sz w:val="26"/>
          <w:szCs w:val="26"/>
        </w:rPr>
        <w:t>е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Pr="009332ED">
        <w:rPr>
          <w:rFonts w:ascii="Times New Roman" w:eastAsia="Calibri" w:hAnsi="Times New Roman" w:cs="Times New Roman"/>
          <w:sz w:val="26"/>
          <w:szCs w:val="26"/>
        </w:rPr>
        <w:t>приложени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я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№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2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>,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9332ED">
        <w:rPr>
          <w:rFonts w:ascii="Times New Roman" w:eastAsia="Calibri" w:hAnsi="Times New Roman" w:cs="Times New Roman"/>
          <w:sz w:val="26"/>
          <w:szCs w:val="26"/>
        </w:rPr>
        <w:t>7 к Методике прогнозирования поступлений доходов, администрируемых главными администраторами доходов бюджета города Магнитогорска, в бюджет города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>, утвержденной постановлением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 изложить в новой редакции</w:t>
      </w:r>
      <w:r w:rsidR="00E60F44">
        <w:rPr>
          <w:rFonts w:ascii="Times New Roman" w:eastAsia="Calibri" w:hAnsi="Times New Roman" w:cs="Times New Roman"/>
          <w:sz w:val="26"/>
          <w:szCs w:val="26"/>
        </w:rPr>
        <w:br/>
      </w:r>
      <w:r w:rsidRPr="009332ED">
        <w:rPr>
          <w:rFonts w:ascii="Times New Roman" w:eastAsia="Calibri" w:hAnsi="Times New Roman" w:cs="Times New Roman"/>
          <w:sz w:val="26"/>
          <w:szCs w:val="26"/>
        </w:rPr>
        <w:t>(приложени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>е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F3219" w:rsidRPr="009332ED">
        <w:rPr>
          <w:rFonts w:ascii="Times New Roman" w:eastAsia="Calibri" w:hAnsi="Times New Roman" w:cs="Times New Roman"/>
          <w:sz w:val="26"/>
          <w:szCs w:val="26"/>
        </w:rPr>
        <w:t>№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 1,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 xml:space="preserve"> 2</w:t>
      </w:r>
      <w:r w:rsidRPr="009332ED">
        <w:rPr>
          <w:rFonts w:ascii="Times New Roman" w:eastAsia="Calibri" w:hAnsi="Times New Roman" w:cs="Times New Roman"/>
          <w:sz w:val="26"/>
          <w:szCs w:val="26"/>
        </w:rPr>
        <w:t>).</w:t>
      </w:r>
    </w:p>
    <w:p w:rsidR="00042EA3" w:rsidRPr="009332ED" w:rsidRDefault="00042EA3" w:rsidP="008D31F2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2. </w:t>
      </w:r>
      <w:r w:rsidRPr="009332ED">
        <w:rPr>
          <w:rFonts w:ascii="Times New Roman" w:eastAsia="Calibri" w:hAnsi="Times New Roman" w:cs="Times New Roman"/>
          <w:sz w:val="26"/>
          <w:szCs w:val="26"/>
        </w:rPr>
        <w:tab/>
        <w:t>Настоящее постановление вступает в силу</w:t>
      </w:r>
      <w:r w:rsidR="00AC2539" w:rsidRPr="009332ED">
        <w:rPr>
          <w:rFonts w:ascii="Times New Roman" w:eastAsia="Calibri" w:hAnsi="Times New Roman" w:cs="Times New Roman"/>
          <w:sz w:val="26"/>
          <w:szCs w:val="26"/>
        </w:rPr>
        <w:t xml:space="preserve"> после </w:t>
      </w:r>
      <w:r w:rsidR="00FC20C2" w:rsidRPr="009332ED">
        <w:rPr>
          <w:rFonts w:ascii="Times New Roman" w:eastAsia="Calibri" w:hAnsi="Times New Roman" w:cs="Times New Roman"/>
          <w:sz w:val="26"/>
          <w:szCs w:val="26"/>
        </w:rPr>
        <w:t>его официального опубликования</w:t>
      </w:r>
      <w:r w:rsidRPr="009332ED">
        <w:rPr>
          <w:rFonts w:ascii="Times New Roman" w:eastAsia="Calibri" w:hAnsi="Times New Roman" w:cs="Times New Roman"/>
          <w:sz w:val="26"/>
          <w:szCs w:val="26"/>
        </w:rPr>
        <w:t>.</w:t>
      </w:r>
    </w:p>
    <w:p w:rsidR="00042EA3" w:rsidRPr="009332ED" w:rsidRDefault="00042EA3" w:rsidP="008D31F2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3. </w:t>
      </w:r>
      <w:r w:rsidRPr="009332ED">
        <w:rPr>
          <w:rFonts w:ascii="Times New Roman" w:eastAsia="Calibri" w:hAnsi="Times New Roman" w:cs="Times New Roman"/>
          <w:sz w:val="26"/>
          <w:szCs w:val="26"/>
        </w:rPr>
        <w:tab/>
        <w:t xml:space="preserve">Службе внешних связей и молодежной политики администрации города 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Магнитогорска 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(Беличенко О.С.) опубликовать настоящее постановление 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br/>
      </w:r>
      <w:r w:rsidRPr="009332ED">
        <w:rPr>
          <w:rFonts w:ascii="Times New Roman" w:eastAsia="Calibri" w:hAnsi="Times New Roman" w:cs="Times New Roman"/>
          <w:sz w:val="26"/>
          <w:szCs w:val="26"/>
        </w:rPr>
        <w:t>в средствах массовой информации.</w:t>
      </w:r>
    </w:p>
    <w:p w:rsidR="00042EA3" w:rsidRPr="009332ED" w:rsidRDefault="00042EA3" w:rsidP="008D31F2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4. </w:t>
      </w:r>
      <w:r w:rsidRPr="009332ED">
        <w:rPr>
          <w:rFonts w:ascii="Times New Roman" w:eastAsia="Calibri" w:hAnsi="Times New Roman" w:cs="Times New Roman"/>
          <w:sz w:val="26"/>
          <w:szCs w:val="26"/>
        </w:rPr>
        <w:tab/>
        <w:t xml:space="preserve">Контроль исполнения настоящего постановления возложить на заместителя главы города 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Магнитогорска </w:t>
      </w:r>
      <w:r w:rsidRPr="009332ED">
        <w:rPr>
          <w:rFonts w:ascii="Times New Roman" w:eastAsia="Calibri" w:hAnsi="Times New Roman" w:cs="Times New Roman"/>
          <w:sz w:val="26"/>
          <w:szCs w:val="26"/>
        </w:rPr>
        <w:t>Макарову А.Н.</w:t>
      </w:r>
    </w:p>
    <w:p w:rsidR="00042EA3" w:rsidRPr="009332ED" w:rsidRDefault="00042EA3" w:rsidP="008D31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8D31F2" w:rsidRPr="009332ED" w:rsidRDefault="008D31F2" w:rsidP="008D31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8D31F2" w:rsidRPr="009332ED" w:rsidRDefault="008D31F2" w:rsidP="008D31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042EA3" w:rsidRPr="009332ED" w:rsidRDefault="00042EA3" w:rsidP="008D31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332ED">
        <w:rPr>
          <w:rFonts w:ascii="Times New Roman" w:eastAsia="Calibri" w:hAnsi="Times New Roman" w:cs="Times New Roman"/>
          <w:sz w:val="26"/>
          <w:szCs w:val="26"/>
        </w:rPr>
        <w:t>Глава города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 xml:space="preserve"> Магнитогорска</w:t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ab/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ab/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ab/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ab/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ab/>
      </w:r>
      <w:r w:rsidR="008D31F2" w:rsidRPr="009332ED">
        <w:rPr>
          <w:rFonts w:ascii="Times New Roman" w:eastAsia="Calibri" w:hAnsi="Times New Roman" w:cs="Times New Roman"/>
          <w:sz w:val="26"/>
          <w:szCs w:val="26"/>
        </w:rPr>
        <w:tab/>
        <w:t xml:space="preserve">      </w:t>
      </w:r>
      <w:r w:rsidRPr="009332ED">
        <w:rPr>
          <w:rFonts w:ascii="Times New Roman" w:eastAsia="Calibri" w:hAnsi="Times New Roman" w:cs="Times New Roman"/>
          <w:sz w:val="26"/>
          <w:szCs w:val="26"/>
        </w:rPr>
        <w:t xml:space="preserve">  С.Н. Бердников</w:t>
      </w:r>
    </w:p>
    <w:p w:rsidR="00042EA3" w:rsidRPr="009332ED" w:rsidRDefault="00042EA3" w:rsidP="008D31F2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8D31F2" w:rsidRPr="009332ED" w:rsidRDefault="008D31F2" w:rsidP="008D31F2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8D31F2" w:rsidRPr="009332ED" w:rsidRDefault="008D31F2" w:rsidP="008D31F2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8D31F2" w:rsidRPr="009332ED" w:rsidRDefault="008D31F2" w:rsidP="008D31F2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bCs/>
        </w:rPr>
        <w:sectPr w:rsidR="008D31F2" w:rsidRPr="009332ED" w:rsidSect="008D31F2">
          <w:headerReference w:type="default" r:id="rId8"/>
          <w:footerReference w:type="first" r:id="rId9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042EA3" w:rsidRPr="009332ED" w:rsidRDefault="00042EA3" w:rsidP="009332ED">
      <w:pPr>
        <w:spacing w:after="160" w:line="259" w:lineRule="auto"/>
        <w:ind w:firstLine="11199"/>
        <w:contextualSpacing/>
        <w:rPr>
          <w:rFonts w:ascii="Times New Roman" w:eastAsia="Calibri" w:hAnsi="Times New Roman" w:cs="Times New Roman"/>
          <w:bCs/>
        </w:rPr>
      </w:pPr>
      <w:r w:rsidRPr="009332ED">
        <w:rPr>
          <w:rFonts w:ascii="Times New Roman" w:eastAsia="Calibri" w:hAnsi="Times New Roman" w:cs="Times New Roman"/>
          <w:bCs/>
        </w:rPr>
        <w:lastRenderedPageBreak/>
        <w:t>Приложение</w:t>
      </w:r>
      <w:r w:rsidR="00FC20C2" w:rsidRPr="009332ED">
        <w:rPr>
          <w:rFonts w:ascii="Times New Roman" w:eastAsia="Calibri" w:hAnsi="Times New Roman" w:cs="Times New Roman"/>
          <w:bCs/>
        </w:rPr>
        <w:t xml:space="preserve"> №1</w:t>
      </w:r>
    </w:p>
    <w:p w:rsidR="009332ED" w:rsidRPr="009332ED" w:rsidRDefault="00042EA3" w:rsidP="009332ED">
      <w:pPr>
        <w:spacing w:after="160" w:line="259" w:lineRule="auto"/>
        <w:ind w:firstLine="11199"/>
        <w:contextualSpacing/>
        <w:rPr>
          <w:rFonts w:ascii="Times New Roman" w:eastAsia="Calibri" w:hAnsi="Times New Roman" w:cs="Times New Roman"/>
          <w:bCs/>
        </w:rPr>
      </w:pPr>
      <w:r w:rsidRPr="009332ED">
        <w:rPr>
          <w:rFonts w:ascii="Times New Roman" w:eastAsia="Calibri" w:hAnsi="Times New Roman" w:cs="Times New Roman"/>
          <w:bCs/>
        </w:rPr>
        <w:t xml:space="preserve">к постановлению администрации </w:t>
      </w:r>
    </w:p>
    <w:p w:rsidR="00042EA3" w:rsidRPr="009332ED" w:rsidRDefault="00042EA3" w:rsidP="009332ED">
      <w:pPr>
        <w:spacing w:after="160" w:line="259" w:lineRule="auto"/>
        <w:ind w:firstLine="11199"/>
        <w:contextualSpacing/>
        <w:rPr>
          <w:rFonts w:ascii="Times New Roman" w:eastAsia="Calibri" w:hAnsi="Times New Roman" w:cs="Times New Roman"/>
          <w:bCs/>
        </w:rPr>
      </w:pPr>
      <w:r w:rsidRPr="009332ED">
        <w:rPr>
          <w:rFonts w:ascii="Times New Roman" w:eastAsia="Calibri" w:hAnsi="Times New Roman" w:cs="Times New Roman"/>
          <w:bCs/>
        </w:rPr>
        <w:t>города</w:t>
      </w:r>
      <w:r w:rsidR="009332ED" w:rsidRPr="009332ED">
        <w:rPr>
          <w:rFonts w:ascii="Times New Roman" w:eastAsia="Calibri" w:hAnsi="Times New Roman" w:cs="Times New Roman"/>
          <w:bCs/>
        </w:rPr>
        <w:t xml:space="preserve"> </w:t>
      </w:r>
      <w:r w:rsidR="009332ED" w:rsidRPr="009332ED">
        <w:rPr>
          <w:rFonts w:ascii="Times New Roman" w:eastAsia="Calibri" w:hAnsi="Times New Roman" w:cs="Times New Roman"/>
          <w:szCs w:val="26"/>
        </w:rPr>
        <w:t>Магнитогорска</w:t>
      </w:r>
    </w:p>
    <w:p w:rsidR="00042EA3" w:rsidRPr="009332ED" w:rsidRDefault="00042EA3" w:rsidP="009332ED">
      <w:pPr>
        <w:tabs>
          <w:tab w:val="left" w:pos="11199"/>
        </w:tabs>
        <w:spacing w:after="160" w:line="259" w:lineRule="auto"/>
        <w:ind w:firstLine="11199"/>
        <w:contextualSpacing/>
        <w:rPr>
          <w:rFonts w:ascii="Times New Roman" w:eastAsia="Calibri" w:hAnsi="Times New Roman" w:cs="Times New Roman"/>
          <w:bCs/>
        </w:rPr>
      </w:pPr>
      <w:r w:rsidRPr="009332ED">
        <w:rPr>
          <w:rFonts w:ascii="Times New Roman" w:eastAsia="Calibri" w:hAnsi="Times New Roman" w:cs="Times New Roman"/>
          <w:bCs/>
        </w:rPr>
        <w:t xml:space="preserve">от </w:t>
      </w:r>
      <w:r w:rsidR="005C0E34">
        <w:rPr>
          <w:rFonts w:ascii="Times New Roman" w:eastAsia="Calibri" w:hAnsi="Times New Roman" w:cs="Times New Roman"/>
          <w:bCs/>
        </w:rPr>
        <w:t>16.02.2023 № 1566-</w:t>
      </w:r>
      <w:r w:rsidRPr="009332ED">
        <w:rPr>
          <w:rFonts w:ascii="Times New Roman" w:eastAsia="Calibri" w:hAnsi="Times New Roman" w:cs="Times New Roman"/>
          <w:bCs/>
        </w:rPr>
        <w:t>П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9332ED" w:rsidRPr="009332ED" w:rsidRDefault="00042EA3" w:rsidP="009332ED">
      <w:pPr>
        <w:widowControl w:val="0"/>
        <w:autoSpaceDE w:val="0"/>
        <w:autoSpaceDN w:val="0"/>
        <w:adjustRightInd w:val="0"/>
        <w:spacing w:after="0" w:line="240" w:lineRule="auto"/>
        <w:ind w:firstLine="1119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Приложение 2</w:t>
      </w:r>
    </w:p>
    <w:p w:rsidR="00042EA3" w:rsidRPr="009332ED" w:rsidRDefault="00042EA3" w:rsidP="009332ED">
      <w:pPr>
        <w:widowControl w:val="0"/>
        <w:autoSpaceDE w:val="0"/>
        <w:autoSpaceDN w:val="0"/>
        <w:adjustRightInd w:val="0"/>
        <w:spacing w:after="0" w:line="240" w:lineRule="auto"/>
        <w:ind w:firstLine="1119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Методике прогнозирования </w:t>
      </w:r>
    </w:p>
    <w:p w:rsidR="00042EA3" w:rsidRPr="009332ED" w:rsidRDefault="00042EA3" w:rsidP="009332ED">
      <w:pPr>
        <w:widowControl w:val="0"/>
        <w:autoSpaceDE w:val="0"/>
        <w:autoSpaceDN w:val="0"/>
        <w:adjustRightInd w:val="0"/>
        <w:spacing w:after="0" w:line="240" w:lineRule="auto"/>
        <w:ind w:firstLine="1119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поступлений доходов,</w:t>
      </w:r>
    </w:p>
    <w:p w:rsidR="00042EA3" w:rsidRPr="009332ED" w:rsidRDefault="00042EA3" w:rsidP="009332ED">
      <w:pPr>
        <w:widowControl w:val="0"/>
        <w:autoSpaceDE w:val="0"/>
        <w:autoSpaceDN w:val="0"/>
        <w:adjustRightInd w:val="0"/>
        <w:spacing w:after="0" w:line="240" w:lineRule="auto"/>
        <w:ind w:firstLine="1119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администрируемых главными </w:t>
      </w:r>
    </w:p>
    <w:p w:rsidR="00042EA3" w:rsidRPr="009332ED" w:rsidRDefault="00042EA3" w:rsidP="009332ED">
      <w:pPr>
        <w:widowControl w:val="0"/>
        <w:autoSpaceDE w:val="0"/>
        <w:autoSpaceDN w:val="0"/>
        <w:adjustRightInd w:val="0"/>
        <w:spacing w:after="0" w:line="240" w:lineRule="auto"/>
        <w:ind w:firstLine="1119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администраторами доходов </w:t>
      </w:r>
    </w:p>
    <w:p w:rsidR="00042EA3" w:rsidRPr="009332ED" w:rsidRDefault="00042EA3" w:rsidP="009332ED">
      <w:pPr>
        <w:widowControl w:val="0"/>
        <w:autoSpaceDE w:val="0"/>
        <w:autoSpaceDN w:val="0"/>
        <w:adjustRightInd w:val="0"/>
        <w:spacing w:after="0" w:line="240" w:lineRule="auto"/>
        <w:ind w:firstLine="1119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бюджета города Магнитогорска, </w:t>
      </w:r>
    </w:p>
    <w:p w:rsidR="00042EA3" w:rsidRPr="009332ED" w:rsidRDefault="00042EA3" w:rsidP="009332ED">
      <w:pPr>
        <w:widowControl w:val="0"/>
        <w:autoSpaceDE w:val="0"/>
        <w:autoSpaceDN w:val="0"/>
        <w:adjustRightInd w:val="0"/>
        <w:spacing w:after="0" w:line="240" w:lineRule="auto"/>
        <w:ind w:firstLine="1119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бюджет города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Методика прогнозирования поступлений доходов, администрируемых главным администратором доходов бюджета города Магнитогорска, в бюджет города – Администрацией города Магнитогорска 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14994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5"/>
        <w:gridCol w:w="1428"/>
        <w:gridCol w:w="1428"/>
        <w:gridCol w:w="2380"/>
        <w:gridCol w:w="2261"/>
        <w:gridCol w:w="1428"/>
        <w:gridCol w:w="1428"/>
        <w:gridCol w:w="1428"/>
        <w:gridCol w:w="2618"/>
      </w:tblGrid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N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Код главного администратора доходов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 главного администратора доходов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КБК 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 КБК доходов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 метода расчета 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Формула расчета 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Алгоритм расчета 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Описание показателей 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505 1 11 05034 04 0000 120</w:t>
            </w:r>
          </w:p>
        </w:tc>
        <w:tc>
          <w:tcPr>
            <w:tcW w:w="2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26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доходов от сдачи в аренду 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начислений по договорам аренды имущества, прогнозируемая к поступлению в расчетном году. Принимается сумма начислений по действующим договорам аренды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суммы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доходов, связанных с заключением (расторжением) договоров, возвратом денежных средств по решению судов, изменением нормативно-правовой базы, регулирующей начисления,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lastRenderedPageBreak/>
              <w:t>2.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t>Администрация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jc w:val="center"/>
              <w:rPr>
                <w:rFonts w:ascii="Arial" w:eastAsia="Calibri" w:hAnsi="Arial" w:cs="Arial"/>
                <w:sz w:val="20"/>
                <w:szCs w:val="20"/>
                <w:highlight w:val="yellow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t>505 1 13 01994 04 0000 130</w:t>
            </w:r>
          </w:p>
        </w:tc>
        <w:tc>
          <w:tcPr>
            <w:tcW w:w="2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t>Прочие доходы от оказания платных услуг (работ) получателями средств бюджетов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9332ED">
              <w:rPr>
                <w:rFonts w:ascii="Arial" w:eastAsia="Calibri" w:hAnsi="Arial" w:cs="Arial"/>
                <w:sz w:val="20"/>
                <w:szCs w:val="20"/>
              </w:rPr>
              <w:t>Дпл</w:t>
            </w:r>
            <w:proofErr w:type="spellEnd"/>
            <w:r w:rsidRPr="009332ED">
              <w:rPr>
                <w:rFonts w:ascii="Arial" w:eastAsia="Calibri" w:hAnsi="Arial" w:cs="Arial"/>
                <w:sz w:val="20"/>
                <w:szCs w:val="20"/>
              </w:rPr>
              <w:t xml:space="preserve"> = Ц*Ш*</w:t>
            </w:r>
            <w:proofErr w:type="spellStart"/>
            <w:r w:rsidRPr="009332ED">
              <w:rPr>
                <w:rFonts w:ascii="Arial" w:eastAsia="Calibri" w:hAnsi="Arial" w:cs="Arial"/>
                <w:sz w:val="20"/>
                <w:szCs w:val="20"/>
              </w:rPr>
              <w:t>Ксоб</w:t>
            </w:r>
            <w:proofErr w:type="spellEnd"/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jc w:val="center"/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9332ED">
              <w:rPr>
                <w:rFonts w:ascii="Arial" w:eastAsia="Calibri" w:hAnsi="Arial" w:cs="Arial"/>
                <w:sz w:val="20"/>
                <w:szCs w:val="20"/>
              </w:rPr>
              <w:t>Дпл</w:t>
            </w:r>
            <w:proofErr w:type="spellEnd"/>
            <w:r w:rsidRPr="009332ED">
              <w:rPr>
                <w:rFonts w:ascii="Arial" w:eastAsia="Calibri" w:hAnsi="Arial" w:cs="Arial"/>
                <w:sz w:val="20"/>
                <w:szCs w:val="20"/>
              </w:rPr>
              <w:t xml:space="preserve"> = Ц*Ш*</w:t>
            </w:r>
            <w:proofErr w:type="spellStart"/>
            <w:r w:rsidRPr="009332ED">
              <w:rPr>
                <w:rFonts w:ascii="Arial" w:eastAsia="Calibri" w:hAnsi="Arial" w:cs="Arial"/>
                <w:sz w:val="20"/>
                <w:szCs w:val="20"/>
              </w:rPr>
              <w:t>Ксоб</w:t>
            </w:r>
            <w:proofErr w:type="spellEnd"/>
          </w:p>
        </w:tc>
        <w:tc>
          <w:tcPr>
            <w:tcW w:w="26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2EA3" w:rsidRPr="009332ED" w:rsidRDefault="00042EA3" w:rsidP="00042EA3">
            <w:pPr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9332ED">
              <w:rPr>
                <w:rFonts w:ascii="Arial" w:eastAsia="Calibri" w:hAnsi="Arial" w:cs="Arial"/>
                <w:sz w:val="20"/>
                <w:szCs w:val="20"/>
              </w:rPr>
              <w:t>Дпл</w:t>
            </w:r>
            <w:proofErr w:type="spellEnd"/>
            <w:r w:rsidRPr="009332ED">
              <w:rPr>
                <w:rFonts w:ascii="Arial" w:eastAsia="Calibri" w:hAnsi="Arial" w:cs="Arial"/>
                <w:sz w:val="20"/>
                <w:szCs w:val="20"/>
              </w:rPr>
              <w:t xml:space="preserve"> - прогнозируемый объем поступлений прочих доходов от оказания платных услуг (работ) получателями средств бюджетов городских округов в расчетном году;</w:t>
            </w:r>
          </w:p>
          <w:p w:rsidR="00042EA3" w:rsidRPr="009332ED" w:rsidRDefault="00042EA3" w:rsidP="00042EA3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lastRenderedPageBreak/>
              <w:t>Ц - стоимость услуги (работы) в расчетном году;</w:t>
            </w:r>
          </w:p>
          <w:p w:rsidR="00042EA3" w:rsidRPr="009332ED" w:rsidRDefault="00042EA3" w:rsidP="00042EA3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9332ED">
              <w:rPr>
                <w:rFonts w:ascii="Arial" w:eastAsia="Calibri" w:hAnsi="Arial" w:cs="Arial"/>
                <w:sz w:val="20"/>
                <w:szCs w:val="20"/>
              </w:rPr>
              <w:t>Ш - предполагаемое количество оказываемых услуг (работ) в расчетном году;</w:t>
            </w:r>
          </w:p>
          <w:p w:rsidR="00042EA3" w:rsidRPr="009332ED" w:rsidRDefault="00042EA3" w:rsidP="00042EA3">
            <w:pPr>
              <w:rPr>
                <w:rFonts w:ascii="Arial" w:eastAsia="Calibri" w:hAnsi="Arial" w:cs="Arial"/>
                <w:sz w:val="20"/>
                <w:szCs w:val="20"/>
              </w:rPr>
            </w:pPr>
            <w:proofErr w:type="spellStart"/>
            <w:r w:rsidRPr="009332ED">
              <w:rPr>
                <w:rFonts w:ascii="Arial" w:eastAsia="Calibri" w:hAnsi="Arial" w:cs="Arial"/>
                <w:sz w:val="20"/>
                <w:szCs w:val="20"/>
              </w:rPr>
              <w:t>Ксоб</w:t>
            </w:r>
            <w:proofErr w:type="spellEnd"/>
            <w:r w:rsidRPr="009332ED">
              <w:rPr>
                <w:rFonts w:ascii="Arial" w:eastAsia="Calibri" w:hAnsi="Arial" w:cs="Arial"/>
                <w:sz w:val="20"/>
                <w:szCs w:val="20"/>
              </w:rPr>
              <w:t xml:space="preserve"> - коэффициент, учитывающего собираемость дохода за отчетный период, который определяется как отношение фактических поступлений к начисленным суммам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Администрация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505 1 13 02064 04 0000 130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1) поступления по договорам на возмещение расходов по оплате коммунальных услуг - метод прямого расчета;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2) поступления по прочим договорам на возмещение расходов по оплате услуг по содержанию и ремонту общего имущества, взносов на капитальный ремонт, пультовой охраны, технического обслуживания технических средств охранной сигнализаци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и и других расходов по эксплуатации имущества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</w:t>
            </w:r>
            <w:proofErr w:type="gram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Д)*</w:t>
            </w:r>
            <w:proofErr w:type="gram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</w:t>
            </w:r>
            <w:proofErr w:type="gram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Д)*</w:t>
            </w:r>
            <w:proofErr w:type="gram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</w:tc>
        <w:tc>
          <w:tcPr>
            <w:tcW w:w="26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на возмещение расходов по оплате коммунальных услуг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доходов, связанных с заключением новых договоров в расчетном периоде или истечения срока действия ранее заключенных договоров;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К - коэффициент, учитывающий изменение цен на жилищно-коммунальные услуги, согласованный с управлением экономики и инвестиций;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на возмещение расходов по прочим договорам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доходов, связанных с заключением новых договоров в расчетном периоде или истечения срока действия ранее заключенных договоров;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дату прошедшего периода текущего года</w:t>
            </w:r>
          </w:p>
        </w:tc>
      </w:tr>
      <w:tr w:rsidR="009332ED" w:rsidRPr="009332ED" w:rsidTr="00AC3292">
        <w:trPr>
          <w:trHeight w:val="6795"/>
        </w:trPr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505 1 13 02994 04 0000 130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доходы от компенсации затрат бюджетов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1) Поступления доходов от возврата дебиторской задолженности прошлых лет по компенсации затрат местного бюджета и иных компенсаций затрат местного бюджета; возмещения затрат местного бюджета, в том числе возмещения Фондом социального страхования Российской Федерации расходов на выплату страхового обеспечения по обязательному социальному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страхованию на случай временной нетрудоспособности и в связи с материнством; платы, взимаемой с работника при выдаче трудовой книжки или вкладыша в нее в качестве возмещения затрат, понесенных работодателем при их приобретении; возврата финансирования по результатам проверок - метод усреднения с исключением несистемных поступлений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2) Поступления доходов от оплаты стоимости восстановит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ельной стоимости зеленых насаждений - метод усреднения с исключением несистемных поступлений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(П1+П2+П3-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)/3 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Пвос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(П1+П2+П3-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)/3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(П1+П2+П3-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)/3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Пвос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(П1+П2+П3-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)/3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6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П1, П2, П3 -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Пвос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 1, П 2, П 3 -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505 1 16 01074 01 0000 140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Административные штрафы, установленные </w:t>
            </w:r>
            <w:hyperlink r:id="rId10" w:history="1">
              <w:r w:rsidRPr="009332ED">
                <w:rPr>
                  <w:rFonts w:ascii="Arial" w:eastAsia="Times New Roman" w:hAnsi="Arial" w:cs="Arial"/>
                  <w:sz w:val="20"/>
                  <w:szCs w:val="20"/>
                  <w:lang w:eastAsia="ru-RU"/>
                </w:rPr>
                <w:t>главой 7</w:t>
              </w:r>
            </w:hyperlink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Кодекса Российской Федерации об административных правонарушениях, за административные правонарушения в области охраны собственности,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выявленные должностными лицами органов муниципального контроля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6.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505 1 16 01084 01 0000 140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Административные штрафы, установленные </w:t>
            </w:r>
            <w:hyperlink r:id="rId11" w:history="1">
              <w:r w:rsidRPr="009332ED">
                <w:rPr>
                  <w:rFonts w:ascii="Arial" w:eastAsia="Times New Roman" w:hAnsi="Arial" w:cs="Arial"/>
                  <w:sz w:val="20"/>
                  <w:szCs w:val="20"/>
                  <w:lang w:eastAsia="ru-RU"/>
                </w:rPr>
                <w:t>главой 8</w:t>
              </w:r>
            </w:hyperlink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505 1 16 02020 02 0000 140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усреднения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Пштр02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 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Пштр02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 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Пштр02 -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505 1 16 10123 01 0000 140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Доходы от денежных взысканий (штрафов), поступающие в счет погашения задолженности, образовавшейся до 1 января 2020 года,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9.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505 1 17 01040 04 0000 180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Невыясненные поступления, зачисляемые в бюджеты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целевого ориентира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ЦО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ЦО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невыясненных поступлений, зачисляемых в бюджеты городских округов,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ЦО - целевой ориентир поступления в бюджет города невыясненных платежей. Учитывая, что в соответствии с приказом Минфина России от 18.12.2013 N 125н "Об утверждении Порядка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Федерации" к невыясненным поступлениям относятся платежи, по которым расчетные документы заполнены с нарушениями установленного порядка, и что данный вид дохода служит для уточнения по назначению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невыясненных платежей, зачисляемых в бюджет города, показатель целевого ориентира (ЦО) устанавливается в размере 0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10.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505 117 15020 04 0000 150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Инициативные платежи, зачисляемые в бюджеты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Метод усреднения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Пинпл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 (П1+П2+П3-∑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)/3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Пинпл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 (П1+П2+П3-∑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)/3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Пинпл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- прогнозируемый объем поступлений на планируемый период;</w:t>
            </w:r>
          </w:p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 1, П 2, П 3 - фактическое поступление за отчетный год;</w:t>
            </w:r>
          </w:p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Администрация города Магнитогорска 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505 202 00000 00 0000 000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Метод прямого ориентира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=ЦО</w:t>
            </w:r>
          </w:p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=ЦО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- прогнозируемый объем безвозмездных поступлений от других бюджетов бюджетной системы Российской Федерации в расчетном году;</w:t>
            </w:r>
          </w:p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ЦО - целевой ориентир.</w:t>
            </w:r>
          </w:p>
          <w:p w:rsidR="00B93FD0" w:rsidRPr="009332ED" w:rsidRDefault="00B93FD0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За целевой ориентир принимается утвержденные в текущем году плановые показатели по безвозмездным поступлениям от других бюджетов бюджетной системы Российской Федерации на расчетный год и плановый период.</w:t>
            </w:r>
          </w:p>
        </w:tc>
      </w:tr>
    </w:tbl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42EA3" w:rsidRPr="009332ED" w:rsidRDefault="00042EA3" w:rsidP="00042EA3">
      <w:pPr>
        <w:spacing w:after="160" w:line="259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C20C2" w:rsidRPr="009332ED" w:rsidRDefault="00FC20C2" w:rsidP="00FC20C2">
      <w:pPr>
        <w:spacing w:after="160" w:line="259" w:lineRule="auto"/>
        <w:contextualSpacing/>
        <w:jc w:val="right"/>
        <w:rPr>
          <w:rFonts w:ascii="Times New Roman" w:eastAsia="Calibri" w:hAnsi="Times New Roman" w:cs="Times New Roman"/>
          <w:bCs/>
        </w:rPr>
      </w:pPr>
      <w:r w:rsidRPr="009332ED">
        <w:rPr>
          <w:rFonts w:ascii="Times New Roman" w:eastAsia="Calibri" w:hAnsi="Times New Roman" w:cs="Times New Roman"/>
          <w:bCs/>
        </w:rPr>
        <w:lastRenderedPageBreak/>
        <w:t>Приложение №2</w:t>
      </w:r>
    </w:p>
    <w:p w:rsidR="00FC20C2" w:rsidRPr="009332ED" w:rsidRDefault="00FC20C2" w:rsidP="00FC20C2">
      <w:pPr>
        <w:spacing w:after="160" w:line="259" w:lineRule="auto"/>
        <w:contextualSpacing/>
        <w:jc w:val="right"/>
        <w:rPr>
          <w:rFonts w:ascii="Times New Roman" w:eastAsia="Calibri" w:hAnsi="Times New Roman" w:cs="Times New Roman"/>
          <w:bCs/>
        </w:rPr>
      </w:pPr>
      <w:r w:rsidRPr="009332ED">
        <w:rPr>
          <w:rFonts w:ascii="Times New Roman" w:eastAsia="Calibri" w:hAnsi="Times New Roman" w:cs="Times New Roman"/>
          <w:bCs/>
        </w:rPr>
        <w:t>к постановлению администрации города</w:t>
      </w:r>
    </w:p>
    <w:p w:rsidR="00FC20C2" w:rsidRPr="009332ED" w:rsidRDefault="00FC20C2" w:rsidP="00FC20C2">
      <w:pPr>
        <w:spacing w:after="160" w:line="259" w:lineRule="auto"/>
        <w:contextualSpacing/>
        <w:jc w:val="right"/>
        <w:rPr>
          <w:rFonts w:ascii="Times New Roman" w:eastAsia="Calibri" w:hAnsi="Times New Roman" w:cs="Times New Roman"/>
          <w:bCs/>
        </w:rPr>
      </w:pPr>
      <w:r w:rsidRPr="009332ED">
        <w:rPr>
          <w:rFonts w:ascii="Times New Roman" w:eastAsia="Calibri" w:hAnsi="Times New Roman" w:cs="Times New Roman"/>
          <w:bCs/>
        </w:rPr>
        <w:t xml:space="preserve">от </w:t>
      </w:r>
      <w:r w:rsidR="005C0E34">
        <w:rPr>
          <w:rFonts w:ascii="Times New Roman" w:eastAsia="Calibri" w:hAnsi="Times New Roman" w:cs="Times New Roman"/>
          <w:bCs/>
        </w:rPr>
        <w:t>16.02.2023 № 1566-</w:t>
      </w:r>
      <w:r w:rsidR="005C0E34" w:rsidRPr="009332ED">
        <w:rPr>
          <w:rFonts w:ascii="Times New Roman" w:eastAsia="Calibri" w:hAnsi="Times New Roman" w:cs="Times New Roman"/>
          <w:bCs/>
        </w:rPr>
        <w:t>П</w:t>
      </w:r>
      <w:bookmarkStart w:id="0" w:name="_GoBack"/>
      <w:bookmarkEnd w:id="0"/>
    </w:p>
    <w:p w:rsidR="00FC20C2" w:rsidRPr="009332ED" w:rsidRDefault="00FC20C2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Приложение </w:t>
      </w:r>
      <w:r w:rsidR="00FC20C2"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</w:t>
      </w: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/>
        <w:t xml:space="preserve">к Методике прогнозирования 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поступлений доходов,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администрируемых главными 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администраторами доходов 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бюджета города Магнитогорска, 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бюджет города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332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Методика прогнозирования поступлений доходов, администрируемых главными администраторами доходов бюджета города Магнитогорска, в бюджет города – Комитетом по управлению имуществом и земельными отношениями администрации города Магнитогорска</w:t>
      </w:r>
    </w:p>
    <w:p w:rsidR="00042EA3" w:rsidRPr="009332ED" w:rsidRDefault="00042EA3" w:rsidP="00042E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5"/>
        <w:gridCol w:w="1428"/>
        <w:gridCol w:w="1428"/>
        <w:gridCol w:w="2380"/>
        <w:gridCol w:w="2261"/>
        <w:gridCol w:w="1428"/>
        <w:gridCol w:w="1428"/>
        <w:gridCol w:w="1428"/>
        <w:gridCol w:w="2618"/>
      </w:tblGrid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N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Код главного администратора доходов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 главного администратора доходов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КБК 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 КБК доходов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Наименование метода расчета 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Формула расчета 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Алгоритм расчета 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Описание показателей 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519 1 08 07150 01 0000 110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Государственная пошлина за выдачу разрешения на установку рекламных конструкций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Z = K*P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Z = K*P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Z - прогнозируемая сумма поступления государственной пошлины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 - прогнозируемое количество выдаваемых разрешений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Р - размер государственной пошлины, установленный </w:t>
            </w:r>
            <w:hyperlink r:id="rId12" w:history="1">
              <w:r w:rsidRPr="009332ED">
                <w:rPr>
                  <w:rFonts w:ascii="Arial" w:eastAsia="Times New Roman" w:hAnsi="Arial" w:cs="Arial"/>
                  <w:sz w:val="20"/>
                  <w:szCs w:val="20"/>
                  <w:lang w:eastAsia="ru-RU"/>
                </w:rPr>
                <w:t>налоговым законодательством</w:t>
              </w:r>
            </w:hyperlink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Российской Федерации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имуществом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519 1 11 01040 04 0000 120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Доходы в виде прибыли, приходящейся на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доли в уставных (складочных) капиталах хозяйственных товариществ и обществ, или дивидендов по акциям, принадлежащим городским округам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целевого ориентира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=ЦО - П1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=ЦО - П1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ЦО - целевой ориентир.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 целевой ориентир принимается: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 момента утверждения Решений общих собраний акционеров (участников), где принимается решение о выплате дивидендов (прибыли) - фактическое поступление в текущем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 момента утверждения Решений общих собраний акционеров (участников) о выплате дивидендов (прибыли) - Решение общих собраний акционеров (участников).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П1 - сумма дивидендов (прибыли) акционерных обществ (обществ с ограниченной ответственностью), пакет акций (доли) которых включен в Прогнозный план (Программу) приватизации муниципального имущества в текущем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519 1 11 05012 04 0000 120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ПДнераз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ПДар.пл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ПДар.пл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= 1/5Дзад1 +(Начисл1*</w:t>
            </w:r>
            <w:proofErr w:type="spellStart"/>
            <w:proofErr w:type="gram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)+</w:t>
            </w:r>
            <w:proofErr w:type="gram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/- Д1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(Начисл2*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 + (Дзад2*К)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 Д2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ПДнераз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ПДар.пл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ПДар.пл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= 1/5Дзад1 +(Начисл1*</w:t>
            </w:r>
            <w:proofErr w:type="spellStart"/>
            <w:proofErr w:type="gram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)+</w:t>
            </w:r>
            <w:proofErr w:type="gram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/- Д1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(Начисл2*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 + (Дзад2*К)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 Д2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ПДнераз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прогнозируемая сумма поступлений арендной платы и средств от продажи права на заключение договоров аренды за земельные участки, государственная собственность на которые не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разграничена,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ПДар.пл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- прогнозируемая сумма поступлений арендной платы за земельные участки, государственная собственность на которые не разграничена,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Дзад1 - сумма дебиторской задолженности по арендной плате за земельные участки, государственная собственность на которые не разграничена,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Начисл1 - сумма начислений, ожидаемая к поступлению в расчетном году, по арендной плате за земельные участки, государственная собственность на которые не разграничена. Принимается сумма начислений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коэффициент, учитывающий собираемость дохода, который рассчитывается как отношение суммы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поступлений за отчетный год за вычетом поступлений, в счет погашения дебиторской задолженности предыдущих периодов, к сумме начислений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Д1 - суммы прогнозируемых дополнительных (выпадающих) доходов, связанных с изменением нормативно-правовой базы; отказом арендатора от договорных взаимоотношений (расторжение); уменьшением арендаторами кадастровой стоимости земельных участков по решениям суда и решениям комиссий при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Росреестре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расчетном году.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прогнозируемая сумма поступлений средств от продажи права на заключение договоров аренды за земельные участки, государственная собственность на которые не разграничена, в расчетном году: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Начисл2 - сумма начислений средств от продажи права на заключение договоров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аренды за земельные участки, ожидаемая к поступлению в расчетном году. Принимается сумма начислений по действующим договорам аренды, согласно данным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коэффициент, учитывающий собираемость дохода в отчетном году, либо за ряд лет, определяется как отношение суммы поступлений за год за вычетом поступлений, в счет погашения дебиторской задолженности предыдущих периодов, к сумме начислений за соответствующий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Дзад2 - дебиторская задолженность по поступлению средств от продажи права на заключение договоров аренды за земельные участки, государственная собственность на которые не разграничена, рассчитанная как среднее значение между суммой дебиторской задолженности на 1 января текущего года и на 1 число квартала текущего года, в котором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составляется прогноз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 - понижающий коэффициент, учитывающий степень погашения задолженности, применяется на основании анализа погашения дебиторской задолженности в отчетном году, либо за ряд отчетных лет.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- предполагаемые доходы от продажи права на заключение договоров аренды за земельные участки, государственная собственность на которые не разграничена, на аукционах в расчетном году: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средняя стоимость квадратного метра начальной цены ежегодного размера арендной платы за земельные участки, реализованные на аукционах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площадь земельных участков, право на заключение договоров аренды которых планируется заключить на аукционах в расчетном году, согласно данным на момент составления прогноза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Д2 - сумма прогнозируемых дополнительных (выпадающих) доходов от реализации земельных участков, связанных со снятием земельных участков с аукционов или формированием дополнительных участков, связанных со снижением или повышением спроса на земельные участки со стороны участников аукционов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519 1 11 05024 04 0000 120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ПДраз1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ПДраз1 = 1/5Дзад +(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(Начисл2*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 + (Дзад2*К)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 Д2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ПДраз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ПДраз1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ПДраз1 = 1/5Дзад +(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(Начисл2*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 + (Дзад2*К)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 Д2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ПДраз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прогнозируемая сумма поступлений арендной платы и средств от продажи права на заключение договоров аренды за земельные участки, государственная собственность на которые разграничена,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ПДраз1 - прогнозируемые поступления по арендной плате за земельные участки, находящиеся в собственности городских округов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задолженности по арендной плате за земельные участки, государственная собственность на которые разграничена,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году. Принимается сумма начислений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коэффициент, учитывающий собираемость дохода. Рассчитывается как отношение суммы поступлений за отчетный год за вычетом поступлений, в счет погашения дебиторской задолженности предыдущих периодов, к сумме начислений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 - суммы прогнозируемых дополнительных (выпадающих) доходов, связанных с изменением нормативно-правовой базы; отказом арендатора от договорных взаимоотношений (расторжение); уменьшением арендаторами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кадастровой стоимости земельных участков по решениям суда и решениям комиссий при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Росреестре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расчетном году.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прогнозируемая сумма поступлений средств от продажи права на заключение договоров аренды за земельные участки, государственная собственность на которые разграничена, в расчетном году: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Начисл2 - сумма начислений средств от продажи права на заключение договоров аренды за земельные участки, ожидаемая к поступлению в расчетном году. Принимается сумма начислений по действующим договорам аренды, согласно данным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Ксоб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коэффициент, учитывающий собираемость дохода в отчетном году, либо за ряд лет, определяется как отношение суммы поступлений за год за вычетом поступлений, в счет погашения дебиторской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задолженности предыдущих периодов, к сумме начислений за соответствующий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Дзад2 - дебиторская задолженность по поступлению средств от продажи права на заключение договоров аренды за земельные участки, государственная собственность на которые разграничена, рассчитанная как среднее значение между суммой дебиторской задолженности на 1 января текущего года и на 1 число квартала текущего года, в котором составляется прогноз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 - понижающий коэффициент, учитывающий степень погашения задолженности, применяется на основании анализа погашения дебиторской задолженности в отчетном году, либо за ряд отчетных лет.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Даукц.пр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- предполагаемые доходы от продажи права на заключение договоров аренды за земельные участки, государственная собственность на которые разграничена, на аукционах в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расчетном году: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средняя стоимость квадратного метра начальной цены ежегодного размера арендной платы за земельные участки, реализованные на аукционах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площадь земельных участков, право на заключение договоров аренды которых планируется заключить на аукционах в расчетном году, согласно данным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Д2 - сумма прогнозируемых дополнительных (выпадающих) доходов от реализации земельных участков, связанных со снятием земельных участков с аукционов или формированием дополнительных участков, связанных со снижением или повышением спроса на земельные участки со стороны участников аукционов в расчетном году.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имуществом и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519 1 11 05034 04 0000 120</w:t>
            </w:r>
          </w:p>
        </w:tc>
        <w:tc>
          <w:tcPr>
            <w:tcW w:w="2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Доходы от сдачи в аренду имущества, находящегося в оперативном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26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доходов от сдачи в аренду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имущества, находящегося в оперативном управлении органов управления городских округов и созданных ими учреждений (за исключением имущества муниципальных бюджетных и автономных учреждений),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 по договорам аренды имущества, прогнозируемая к поступлению в расчетном году. Принимается сумма начислений по действующим договорам аренды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суммы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 - сумма прогнозируемых дополнительных (выпадающих) доходов, связанных с заключением (расторжением) договоров, возвратом денежных средств по решению судов, изменением нормативно-правовой базы, регулирующей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начисления,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6.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519 1 11 05074 04 0000 120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сдачи в аренду имущества, составляющего казну городских округов (за исключением земельных участков).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ПДгаз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ПДгаз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ПДгаз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доходов от сдачи в аренду имущества, составляющего казну городских округов (за исключением земельных участков),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 по договорам аренды имущества, прогнозируемая к поступлению в расчетном году. Принимается сумма начислений по действующим договорам аренды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доходов, связанных с заключением (расторжением) договоров, возвратом денежных средств по решению судов, изменением нормативно-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правовой базы, регулирующей начисления,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7.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519 1 11 05312 04 0000 120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Плата по соглашениям об установлении сервитута, заключенным органами местного самоуправления городских округов,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Псерв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Псерв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Псерв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платы по соглашениям об установлении сервитута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году. Принимается сумма начислений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 - суммы прогнозируемых дополнительных (выпадающих) доходов, связанных с изменением нормативно-правовой базы; отказом арендатора от соглашений об установлении сервитута (расторжение); уменьшением арендаторами кадастровой стоимости земельных участков по решениям суда и решениям комиссий при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Росреестре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расчетном году;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8.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519 1 11 05324 04 0000 120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Плата по соглашениям об установлении сервитута, заключенным органами местного самоуправления городских округов,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округов.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Псерв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Псерв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Псерв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платы по соглашениям об установлении сервитута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году. Принимается сумма начислений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 - суммы прогнозируемых дополнительных (выпадающих) доходов, связанных с изменением нормативно-правовой базы; отказом арендатора от соглашений об установлении сервитута (расторжение); уменьшением арендаторами кадастровой стоимости земельных участков по решениям суда и решениям комиссий при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Росреестре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имуществом и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519 1 11 07014 04 0000 120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Доходы от перечисления части прибыли, остающейся после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уплаты налогов и иных обязательных платежей муниципальных унитарных предприятий, созданных городскими округами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целевого ориентира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 =ЦО - П1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 =ЦО - П1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 - прогнозируемый объем поступлений на очередной плановый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ЦО - целевой ориентир.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 целевой ориентир принимается: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 момента утверждения Сводного реестра - фактическое поступление доходов в текущем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с момента утверждения Сводного реестра - утвержденная сумма прибыли, планируемая к перечислению в бюджет города в расчетном году.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П1 - часть прибыли муниципальных предприятий находящихся в процессе ликвидации (реорганизации) по решению собственника в текущем году</w:t>
            </w:r>
          </w:p>
        </w:tc>
      </w:tr>
      <w:tr w:rsidR="009332ED" w:rsidRPr="009332ED" w:rsidTr="00AC3292">
        <w:trPr>
          <w:trHeight w:val="4810"/>
        </w:trPr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10.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519 1 11 09044 04 0000 120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поступления от использования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1) поступления от процентов за рассрочку платежа по договорам купли-продажи муниципального имущества субъектам малого и среднего предпринимательства согласно </w:t>
            </w:r>
            <w:hyperlink r:id="rId13" w:history="1">
              <w:r w:rsidRPr="009332ED">
                <w:rPr>
                  <w:rFonts w:ascii="Arial" w:eastAsia="Times New Roman" w:hAnsi="Arial" w:cs="Arial"/>
                  <w:sz w:val="20"/>
                  <w:szCs w:val="20"/>
                  <w:lang w:eastAsia="ru-RU"/>
                </w:rPr>
                <w:t>Федеральному закону</w:t>
              </w:r>
            </w:hyperlink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Российской Федерации от 22 июля 2008 года N 159-ФЗ "Об особенностях отчуждения недвижимого имущества, находящегося в государственной собственности субъектов Российской Федерации или в муниципаль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- метод прямого расчета;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2) поступления платы за наём жилых помещений, находящихся в муниципальной собственности - метод прямого расчета;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3) платы за разрешение на использование земельного участка без его предоставления - метод прямого расчета;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ПРМИ=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Дпл.за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наём = S*Пб*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*T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3)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ПРМИ=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Дпл.за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наём = S*Пб*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*T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3)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1) ПРМИ - прогнозируемый объем поступлений от процентов за рассрочку платежа по договорам купли-продажи муниципального имущества субъектам малого и среднего предпринимательства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прогнозируемая к поступлению в расчетном году. Принимается сумма начислений по действующим договорам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суммы прогнозируемых дополнительных (выпадающих) доходов, связанных с заключением (расторжением) договоров, изменением нормативно-правовой базы, регулирующей начисления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Дпл.за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наём - прогнозируемый объем поступлений за наём жилых помещений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 - общая площадь жилых помещений, находящихся в муниципальной собственности;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Пб - базовая ставка за пользование жилыми помещениями;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Ксб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коэффициент сбора, который определяется как отношение фактически собранных средств к сумме начисленных средств за наём жилых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помещений, находящихся в муниципальной собственности,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 - количество месяцев в прогнозируемом периоде;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3)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Прип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от разрешений на использование земельного участка без его предоставления;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прогнозируемая к поступлению в расчетном году. Принимается сумма начислений по действующим договорам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Д-суммы прогнозируемых дополнительных (выпадающих) доходов, связанных с заключением (расторжением) договоров, изменением нормативно-правовой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базы, регулирующей начисления,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11.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519 1 11 09080 04 0000 120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которые не разграничена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1) поступления по договорам на установку и эксплуатацию рекламных конструкций - метод прямого расчета;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2) поступления платы по договорам на размещение нестационарных торговых объектов - 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Пнто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 / 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Д,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Пнто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+ 1 / 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Д,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ПДопер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по договорам на установку и эксплуатацию рекламных конструкций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 по договорам на установку и эксплуатацию рекламных конструкций, прогнозируемая к поступлению в расчетном году. Принимается сумма начислений по действующим договорам аренды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доходов, связанных с заключением (расторжением) договоров, возвратом денежных средств по решению судов, изменением нормативно-правовой базы, регулирующей начисления,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Пнто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платы по договорам на размещение нестационарных торговых объектов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 - сумма начислений, прогнозируемая к поступлению в расчетном году. Принимается сумма начислений по действующим договорам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суммы прогнозируемых дополнительных (выпадающих) доходов, связанных с заключением (расторжением) договоров, изменением нормативно-правовой базы, регулирующей начисления,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12.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519 1 13 02064 04 0000 130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1) поступления по договорам на возмещение расходов по оплате коммунальных услуг - метод прямого расчета;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2) поступления по прочим договорам на возмещение расходов по оплате услуг по содержанию и ремонту общего имущества, взносов на капитальный ремонт, пультовой охраны, технического обслуживания технических средств охранной сигнализации и других расходов по эксплуатации имущества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</w:t>
            </w:r>
            <w:proofErr w:type="gram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Д)*</w:t>
            </w:r>
            <w:proofErr w:type="gram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1)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</w:t>
            </w:r>
            <w:proofErr w:type="gram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Д)*</w:t>
            </w:r>
            <w:proofErr w:type="gram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</w:p>
        </w:tc>
        <w:tc>
          <w:tcPr>
            <w:tcW w:w="26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на возмещение расходов по оплате коммунальных услуг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доходов, связанных с заключением новых договоров в расчетном периоде или истечения срока действия ранее заключенных договоров;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 - коэффициент, учитывающий изменение цен на жилищно-коммунальные услуги, согласованный с управлением экономики и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инвестиций;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на возмещение расходов по прочим договорам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доходов, связанных с заключением новых договоров в расчетном периоде или истечения срока действия ранее заключенных договоров;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13.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519 1 13 02994 04 0000 130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Прочие доходы от компенсации затрат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бюджетов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Поступления доходов от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возврата дебиторской задолженности прошлых лет по компенсации затрат местного бюджета и иных компенсаций затрат местного бюджета; возмещения затрат местного бюджета, в том числе возмещения Фондом социального страхования Российской Федерации расходов на выплату страхового обеспечения по обязательному социальному страхованию на случай временной нетрудоспособности и в связи с материнством; платы,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взимаемой с работника при выдаче трудовой книжки или вкладыша в нее в качестве возмещения затрат, понесенных работодателем при их приобретении; возврата финансирования по результатам проверок - метод усреднения с исключением несистемных поступлений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(П1+П2+П3-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)/3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(П1+П2+П3-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)/3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6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Пкомп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П1, П2, П3 -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14.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519 1 14 01040 04 0000 410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продажи квартир, находящихся в собственности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Пк+Пд</w:t>
            </w:r>
            <w:proofErr w:type="spellEnd"/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Пк+Пд</w:t>
            </w:r>
            <w:proofErr w:type="spellEnd"/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на очередной плановый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Пк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поступлений от продажи комнат в коммунальных квартирах, ожидаемая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поступлений от продажи муниципальных долей в квартирах (комнатах), ожидаемая в расчетном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15.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519 1 14 02042 04 0000 410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ПДобтс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+/-Д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ПДобтс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+/-Д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ПДобтс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доходов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основных средств по указанному имуществу;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году. Принимается сумма начислений за прошедший период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 в связи с несистемным характером поступлений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имуществом и земельными отношениями администрации города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519 1 14 02043 04 0000 410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Доходы от реализации иного имущества, находящегося в собственности городских округов (за исключением имущества муниципальных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Прми2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+/-Д,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Прми2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+/-Д,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Прми2 - прогнозируемый объем поступлений от продажи муниципального имущества субъектам малого и среднего предпринимательства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начислений, прогнозируемая к поступлению в расчетном году. Принимается сумма начислений по действующим договорам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суммы прогнозируемых дополнительных (выпадающих) доходов, связанных с заключением (расторжением) договоров, изменением нормативно-правовой базы, регулирующей начисления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17.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519 1 14 02048 04 0000 410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реализации недвижимого имущества бюджетных, автономных учреждений, находящегося в собственности городских округов, в части реализации основных средств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ПДнд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+/-Д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ПДнд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+/-Д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ПДнд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доходов от реализации недвижимого имущества бюджетных, автономных учреждений, находящегося в собственности городских округов, в части реализации основных средств;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к поступлению в расчетном году. Принимается сумма начислений за прошедший период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 в связи с несистемным характером поступлений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18.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519 1 14 02043 04 0000 440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городских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Пимущ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Пимущ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Пимущ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на планируемый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фактическое поступление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период.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519 1 14 06012 04 0000 430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границах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ПЗУнераз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СТср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 +/- Д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+/-Д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ПЗУнераз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СТср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) +/- Д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аукц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+/-Д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ПЗУнераз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от продажи земельных участков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площадь земельных участков, планируемых к продаже в расчетном году. Принимается средняя площадь земельных участков, реализованных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СТср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средняя стоимость одного квадратного метра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суммы прогнозируемых дополнительных (выпадающих) доходов от продажи земельных участков, связанных с изменением нормативно-правовой базы, отсутствием или повышением спроса на покупку земельных участков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аук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поступления доходов от продажи земельных участков на аукционах;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средняя стоимость квадратного метра начальной цены земельных участков, реализованных на аукционах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площадь земельных участков, планируемых к продаже на аукционах в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расчетном году согласно данным на момент составления прогноза поступлений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 от реализации земельных участков, связанных со снятием земельных участков с аукционов или формированием дополнительных участков, связанных со снижением или повышением спроса на земельные участки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20.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519 1 14 06024 04 0000 430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продажи земельных участков, находящихся в собственности городских округов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Ппзу1 + Ппзу2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Ппзу1=1/5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x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СТср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 Д1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Ппзу2=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ПЗУрми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Д2,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Ппзу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Ппзу1 + Ппзу2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Ппзу1=1/5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x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СТср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+/- Д1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Ппзу2=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ПЗУрми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Д2,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Ппзу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от продажи земельных участков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Ппзу1 - прогнозируемый объем поступлений от продажи земельных участков (по заявлениям)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Sзу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площадь земельных участков, планируемых к продаже в расчетном году. Принимается средняя площадь земельных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участков, реализованных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СТср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средняя стоимость одного квадратного метра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Д1 - суммы прогнозируемых дополнительных (выпадающих) доходов от продажи земельных участков, связанных с изменением нормативно-правовой базы, отсутствием или повышением спроса на покупку земельных участков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Ппзу2 - прогнозируемый объем поступлений от продажи земельных участков в рамках реализации преимущественного права субъектов малого и среднего предпринимательства на выкуп ранее арендуемого муниципального имущества в расчетном году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ПЗУрми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 по действующим на момент составления прогноза поступлений доходов договорам купли-продажи объектов недвижимости с земельными участками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(только в части начислений по продаже земельных участков), заключенным в рамках реализации преимущественного права субъектов малого и среднего предпринимательства на выкуп ранее арендуемого муниципального имущества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Д2 - сумма прогнозируемых дополнительных (выпадающих) доходов от реализации муниципального имущества с земельными участками (только в части начислений по продаже земельных участков), связанных с заключением (расторжением) договоров, изменением нормативно-правовой базы, регулирующей начисления,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21.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имуществом и земельными отношениями администрации города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519 1 14 06312 04 0000 430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Плата за увеличение площади земельных участков, находящихся в частной собственности, в результате перераспределения таких земельных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участков и земель (или) земельных участков, государственная собственность на которые не разграничена и которые расположены в границах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Перераспр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Д),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Перераспр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Д),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Перераспр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платы за увеличение площади земельных участков, находящихся в частной собственности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году. Принимается сумма начислений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сумма прогнозируемых дополнительных (выпадающих) доходов за увеличение площади земельных участков в результате перераспределения, связанных с изменением нормативно-правовой базы, отсутствием или повышением спроса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22.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519 1 14 13040 04 0000 410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приватизации имущества, находящегося в собственности городских округов, в части приватизации нефинансовых активов имущества казны.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Прми1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 /- 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Прми1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*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+ /- 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Прми1 - прогнозируемый объем поступлений от продажи муниципального имущества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СТкв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средняя стоимость одного квадратного метра продажи, сложившейся по результатам торгов, проведенных в отчетном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площадь объектов недвижимости, планируемых к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включению в Прогнозный план (программу приватизации муниципального имущества в расчетном году, на момент составления прогноза поступления доходов;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 - суммы прогнозируемых дополнительных (выпадающих) доходов, связанных с последовательностью применения способов приватизации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23.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519 1 16 07010 04 0000 140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округа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имуществом и земельными отношениями администрации города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519 1 16 07090 04 0000 140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обязательств перед муниципальным органом, (муниципальным казенным учреждением) городского округа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25.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519 1 16 10031 04 0000 140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Возмещение ущерба при возникновении страховых случаев, когда выгодоприобретателями выступают получатели средств бюджета городского округа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519 1 16 10032 04 0000 140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Прочее возмещение ущерба, причиненного муниципальному имуществу городского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Комитет по управлению имуществом и земельными отношениями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519 1 16 10061 04 0000 140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городского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округа (муниципальным казенным учреждением) муниципального контракта, а также иные денежные средства, подлежащие зачислению в бюджет городского округа за нарушение </w:t>
            </w:r>
            <w:hyperlink r:id="rId14" w:history="1">
              <w:r w:rsidRPr="009332ED">
                <w:rPr>
                  <w:rFonts w:ascii="Arial" w:eastAsia="Times New Roman" w:hAnsi="Arial" w:cs="Arial"/>
                  <w:sz w:val="20"/>
                  <w:szCs w:val="20"/>
                  <w:lang w:eastAsia="ru-RU"/>
                </w:rPr>
                <w:t>законодательства</w:t>
              </w:r>
            </w:hyperlink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Метод усреднения с исключением несистемных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28.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519 1 16 10081 04 0000 140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Платежи в целях возмещения ущерба при расторжении муниципального контракта, заключенного с муниципальным органом городского округа (муниципальным казенным учреждением), в связи с односторонним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Метод усреднения с исключением несистемных поступлений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2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+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 xml:space="preserve">3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 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 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Пштр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1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2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П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ru-RU"/>
              </w:rPr>
              <w:t> 3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фактический объем поступлений за отчетный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519 1 17 01040 04 0000 180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Невыясненные поступления, зачисляемые в бюджеты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целевого ориентира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ЦО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ЦО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Пнев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невыясненных поступлений, зачисляемых в бюджеты городских округов,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ЦО - целевой ориентир поступления в бюджет города невыясненных платежей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B93F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519 1 17 0</w:t>
            </w:r>
            <w:r w:rsidR="00B93FD0"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040 04 0000 180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неналоговые доходы бюджетов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Метод прямого расчета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Ппнд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Ппнд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=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+1/5 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+/- Д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Ппнд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прогнозируемый объем поступлений прочих неналоговых доходов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Начисл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начислений, ожидаемая к поступлению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Дзад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- сумма дебиторской задолженности на последнюю отчетную дату прошедшего периода текущего года;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 - сумма прогнозируемых дополнительных (выпадающих) доходов, связанных с заключением </w:t>
            </w: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(расторжением) договоров, возвратом денежных средств по решению судов, изменением нормативно-правовой базы, регулирующей начисления, в расчетном году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31.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519 117 15020 04 0000 150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Инициативные платежи, зачисляемые в бюджеты городских округов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Метод усреднения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Пинпл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 (П1+П2+П3-∑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)/3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Пинпл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 (П1+П2+П3-∑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)/3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Пинпл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- прогнозируемый объем поступлений на планируемый период;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 1, П 2, П 3 - фактическое поступление за отчетный год;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∑</w:t>
            </w: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Пнес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- суммарный объем поступлений, носящих несистемный характер, за отчетный период</w:t>
            </w:r>
          </w:p>
        </w:tc>
      </w:tr>
      <w:tr w:rsidR="009332ED" w:rsidRPr="009332ED" w:rsidTr="00AC3292">
        <w:tc>
          <w:tcPr>
            <w:tcW w:w="5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32.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highlight w:val="yellow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Комитет по управлению имуществом и земельными отношениями администрации города Магнитогорска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519 202 00000 00 0000 000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Метод прямого ориентира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=ЦО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=ЦО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proofErr w:type="spellStart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Бп</w:t>
            </w:r>
            <w:proofErr w:type="spellEnd"/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 xml:space="preserve"> - прогнозируемый объем безвозмездных поступлений от других бюджетов бюджетной системы Российской Федерации в расчетном году;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ЦО - целевой ориентир.</w:t>
            </w:r>
          </w:p>
          <w:p w:rsidR="00042EA3" w:rsidRPr="009332ED" w:rsidRDefault="00042EA3" w:rsidP="00042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12"/>
                <w:lang w:eastAsia="ru-RU"/>
              </w:rPr>
            </w:pPr>
            <w:r w:rsidRPr="009332ED">
              <w:rPr>
                <w:rFonts w:ascii="Arial" w:eastAsia="Times New Roman" w:hAnsi="Arial" w:cs="Arial"/>
                <w:sz w:val="20"/>
                <w:szCs w:val="12"/>
                <w:lang w:eastAsia="ru-RU"/>
              </w:rPr>
              <w:t>За целевой ориентир принимается утвержденные в текущем году плановые показатели по безвозмездным поступлениям от других бюджетов бюджетной системы Российской Федерации на расчетный год и плановый период.</w:t>
            </w:r>
          </w:p>
        </w:tc>
      </w:tr>
    </w:tbl>
    <w:p w:rsidR="00F136B4" w:rsidRPr="009332ED" w:rsidRDefault="00F136B4" w:rsidP="00AF6D1C">
      <w:pPr>
        <w:rPr>
          <w:rFonts w:ascii="Times New Roman" w:hAnsi="Times New Roman" w:cs="Times New Roman"/>
          <w:sz w:val="28"/>
          <w:szCs w:val="28"/>
        </w:rPr>
      </w:pPr>
    </w:p>
    <w:sectPr w:rsidR="00F136B4" w:rsidRPr="009332ED" w:rsidSect="009332ED">
      <w:pgSz w:w="16838" w:h="11906" w:orient="landscape"/>
      <w:pgMar w:top="1276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01C1" w:rsidRDefault="009301C1" w:rsidP="004A1A77">
      <w:pPr>
        <w:spacing w:after="0" w:line="240" w:lineRule="auto"/>
      </w:pPr>
      <w:r>
        <w:separator/>
      </w:r>
    </w:p>
  </w:endnote>
  <w:endnote w:type="continuationSeparator" w:id="0">
    <w:p w:rsidR="009301C1" w:rsidRDefault="009301C1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2ED" w:rsidRPr="007F1861" w:rsidRDefault="009332ED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Вр-1438696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01C1" w:rsidRDefault="009301C1" w:rsidP="004A1A77">
      <w:pPr>
        <w:spacing w:after="0" w:line="240" w:lineRule="auto"/>
      </w:pPr>
      <w:r>
        <w:separator/>
      </w:r>
    </w:p>
  </w:footnote>
  <w:footnote w:type="continuationSeparator" w:id="0">
    <w:p w:rsidR="009301C1" w:rsidRDefault="009301C1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8"/>
      </w:rPr>
    </w:sdtEndPr>
    <w:sdtContent>
      <w:p w:rsidR="009332ED" w:rsidRPr="009332ED" w:rsidRDefault="009332ED">
        <w:pPr>
          <w:pStyle w:val="a6"/>
          <w:jc w:val="center"/>
          <w:rPr>
            <w:rFonts w:ascii="Times New Roman" w:hAnsi="Times New Roman" w:cs="Times New Roman"/>
            <w:sz w:val="24"/>
            <w:szCs w:val="28"/>
          </w:rPr>
        </w:pPr>
        <w:r w:rsidRPr="009332ED">
          <w:rPr>
            <w:rFonts w:ascii="Times New Roman" w:hAnsi="Times New Roman" w:cs="Times New Roman"/>
            <w:sz w:val="24"/>
            <w:szCs w:val="28"/>
          </w:rPr>
          <w:fldChar w:fldCharType="begin"/>
        </w:r>
        <w:r w:rsidRPr="009332ED">
          <w:rPr>
            <w:rFonts w:ascii="Times New Roman" w:hAnsi="Times New Roman" w:cs="Times New Roman"/>
            <w:sz w:val="24"/>
            <w:szCs w:val="28"/>
          </w:rPr>
          <w:instrText>PAGE   \* MERGEFORMAT</w:instrText>
        </w:r>
        <w:r w:rsidRPr="009332ED">
          <w:rPr>
            <w:rFonts w:ascii="Times New Roman" w:hAnsi="Times New Roman" w:cs="Times New Roman"/>
            <w:sz w:val="24"/>
            <w:szCs w:val="28"/>
          </w:rPr>
          <w:fldChar w:fldCharType="separate"/>
        </w:r>
        <w:r w:rsidR="005C0E34">
          <w:rPr>
            <w:rFonts w:ascii="Times New Roman" w:hAnsi="Times New Roman" w:cs="Times New Roman"/>
            <w:noProof/>
            <w:sz w:val="24"/>
            <w:szCs w:val="28"/>
          </w:rPr>
          <w:t>20</w:t>
        </w:r>
        <w:r w:rsidRPr="009332ED">
          <w:rPr>
            <w:rFonts w:ascii="Times New Roman" w:hAnsi="Times New Roman" w:cs="Times New Roman"/>
            <w:sz w:val="24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42EA3"/>
    <w:rsid w:val="000F3219"/>
    <w:rsid w:val="00105462"/>
    <w:rsid w:val="001852C3"/>
    <w:rsid w:val="001C507C"/>
    <w:rsid w:val="00220ED8"/>
    <w:rsid w:val="0039242C"/>
    <w:rsid w:val="004A1A77"/>
    <w:rsid w:val="0050596C"/>
    <w:rsid w:val="005B7277"/>
    <w:rsid w:val="005C0E34"/>
    <w:rsid w:val="00741D40"/>
    <w:rsid w:val="007F1861"/>
    <w:rsid w:val="008D31F2"/>
    <w:rsid w:val="009301C1"/>
    <w:rsid w:val="009332ED"/>
    <w:rsid w:val="009B667A"/>
    <w:rsid w:val="009F216C"/>
    <w:rsid w:val="00A14342"/>
    <w:rsid w:val="00A246BF"/>
    <w:rsid w:val="00A31B23"/>
    <w:rsid w:val="00A413D1"/>
    <w:rsid w:val="00A73048"/>
    <w:rsid w:val="00A86E64"/>
    <w:rsid w:val="00AC2539"/>
    <w:rsid w:val="00AC3292"/>
    <w:rsid w:val="00AF6D1C"/>
    <w:rsid w:val="00B93FD0"/>
    <w:rsid w:val="00C12E10"/>
    <w:rsid w:val="00C26C31"/>
    <w:rsid w:val="00C510A5"/>
    <w:rsid w:val="00CD1A1B"/>
    <w:rsid w:val="00E210EE"/>
    <w:rsid w:val="00E60F44"/>
    <w:rsid w:val="00E7635E"/>
    <w:rsid w:val="00ED565A"/>
    <w:rsid w:val="00F00001"/>
    <w:rsid w:val="00F136B4"/>
    <w:rsid w:val="00F21D2E"/>
    <w:rsid w:val="00F221FD"/>
    <w:rsid w:val="00FB4957"/>
    <w:rsid w:val="00FC2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24D70A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042EA3"/>
    <w:pPr>
      <w:keepNext/>
      <w:keepLines/>
      <w:spacing w:before="240" w:after="0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customStyle="1" w:styleId="11">
    <w:name w:val="Заголовок 11"/>
    <w:basedOn w:val="a"/>
    <w:next w:val="a"/>
    <w:uiPriority w:val="99"/>
    <w:qFormat/>
    <w:rsid w:val="00042EA3"/>
    <w:pPr>
      <w:keepNext/>
      <w:keepLines/>
      <w:spacing w:before="240" w:after="0" w:line="259" w:lineRule="auto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042EA3"/>
  </w:style>
  <w:style w:type="character" w:customStyle="1" w:styleId="aa">
    <w:name w:val="Цветовое выделение"/>
    <w:uiPriority w:val="99"/>
    <w:rsid w:val="00042EA3"/>
    <w:rPr>
      <w:b/>
      <w:color w:val="26282F"/>
    </w:rPr>
  </w:style>
  <w:style w:type="numbering" w:customStyle="1" w:styleId="110">
    <w:name w:val="Нет списка11"/>
    <w:next w:val="a2"/>
    <w:uiPriority w:val="99"/>
    <w:semiHidden/>
    <w:unhideWhenUsed/>
    <w:rsid w:val="00042EA3"/>
  </w:style>
  <w:style w:type="character" w:customStyle="1" w:styleId="10">
    <w:name w:val="Заголовок 1 Знак"/>
    <w:basedOn w:val="a0"/>
    <w:link w:val="1"/>
    <w:uiPriority w:val="99"/>
    <w:rsid w:val="00042EA3"/>
    <w:rPr>
      <w:rFonts w:ascii="Arial" w:hAnsi="Arial" w:cs="Arial"/>
      <w:b/>
      <w:bCs/>
      <w:color w:val="26282F"/>
      <w:sz w:val="24"/>
      <w:szCs w:val="24"/>
    </w:rPr>
  </w:style>
  <w:style w:type="paragraph" w:customStyle="1" w:styleId="13">
    <w:name w:val="Текст выноски1"/>
    <w:basedOn w:val="a"/>
    <w:next w:val="a3"/>
    <w:uiPriority w:val="99"/>
    <w:semiHidden/>
    <w:unhideWhenUsed/>
    <w:rsid w:val="00042EA3"/>
    <w:pPr>
      <w:spacing w:after="0" w:line="240" w:lineRule="auto"/>
    </w:pPr>
    <w:rPr>
      <w:rFonts w:ascii="Tahoma" w:hAnsi="Tahoma" w:cs="Tahoma"/>
      <w:sz w:val="16"/>
      <w:szCs w:val="16"/>
    </w:rPr>
  </w:style>
  <w:style w:type="table" w:customStyle="1" w:styleId="14">
    <w:name w:val="Сетка таблицы1"/>
    <w:basedOn w:val="a1"/>
    <w:next w:val="a5"/>
    <w:uiPriority w:val="59"/>
    <w:rsid w:val="00042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5">
    <w:name w:val="Верхний колонтитул1"/>
    <w:basedOn w:val="a"/>
    <w:next w:val="a6"/>
    <w:uiPriority w:val="99"/>
    <w:unhideWhenUsed/>
    <w:rsid w:val="00042EA3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6">
    <w:name w:val="Нижний колонтитул1"/>
    <w:basedOn w:val="a"/>
    <w:next w:val="a8"/>
    <w:uiPriority w:val="99"/>
    <w:unhideWhenUsed/>
    <w:rsid w:val="00042EA3"/>
    <w:pPr>
      <w:tabs>
        <w:tab w:val="center" w:pos="4677"/>
        <w:tab w:val="right" w:pos="9355"/>
      </w:tabs>
      <w:spacing w:after="0" w:line="240" w:lineRule="auto"/>
    </w:pPr>
  </w:style>
  <w:style w:type="numbering" w:customStyle="1" w:styleId="111">
    <w:name w:val="Нет списка111"/>
    <w:next w:val="a2"/>
    <w:uiPriority w:val="99"/>
    <w:semiHidden/>
    <w:unhideWhenUsed/>
    <w:rsid w:val="00042EA3"/>
  </w:style>
  <w:style w:type="character" w:customStyle="1" w:styleId="ab">
    <w:name w:val="Гипертекстовая ссылка"/>
    <w:basedOn w:val="aa"/>
    <w:uiPriority w:val="99"/>
    <w:rsid w:val="00042EA3"/>
    <w:rPr>
      <w:rFonts w:cs="Times New Roman"/>
      <w:b w:val="0"/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042EA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uiPriority w:val="99"/>
    <w:rsid w:val="00042E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e">
    <w:name w:val="Цветовое выделение для Текст"/>
    <w:uiPriority w:val="99"/>
    <w:rsid w:val="00042EA3"/>
  </w:style>
  <w:style w:type="character" w:customStyle="1" w:styleId="112">
    <w:name w:val="Заголовок 1 Знак1"/>
    <w:basedOn w:val="a0"/>
    <w:uiPriority w:val="9"/>
    <w:rsid w:val="00042EA3"/>
    <w:rPr>
      <w:rFonts w:ascii="Cambria" w:eastAsia="Times New Roman" w:hAnsi="Cambria" w:cs="Times New Roman"/>
      <w:color w:val="365F91"/>
      <w:sz w:val="32"/>
      <w:szCs w:val="32"/>
    </w:rPr>
  </w:style>
  <w:style w:type="table" w:customStyle="1" w:styleId="113">
    <w:name w:val="Сетка таблицы11"/>
    <w:basedOn w:val="a1"/>
    <w:next w:val="a5"/>
    <w:rsid w:val="00042EA3"/>
    <w:pPr>
      <w:widowControl w:val="0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20">
    <w:name w:val="Заголовок 1 Знак2"/>
    <w:basedOn w:val="a0"/>
    <w:uiPriority w:val="9"/>
    <w:rsid w:val="00042EA3"/>
    <w:rPr>
      <w:rFonts w:ascii="Calibri Light" w:eastAsia="Times New Roman" w:hAnsi="Calibri Light" w:cs="Times New Roman"/>
      <w:color w:val="2E74B5"/>
      <w:sz w:val="32"/>
      <w:szCs w:val="32"/>
    </w:rPr>
  </w:style>
  <w:style w:type="character" w:customStyle="1" w:styleId="17">
    <w:name w:val="Текст выноски Знак1"/>
    <w:basedOn w:val="a0"/>
    <w:uiPriority w:val="99"/>
    <w:semiHidden/>
    <w:rsid w:val="00042EA3"/>
    <w:rPr>
      <w:rFonts w:ascii="Segoe UI" w:hAnsi="Segoe UI" w:cs="Segoe UI"/>
      <w:sz w:val="18"/>
      <w:szCs w:val="18"/>
    </w:rPr>
  </w:style>
  <w:style w:type="character" w:customStyle="1" w:styleId="18">
    <w:name w:val="Верхний колонтитул Знак1"/>
    <w:basedOn w:val="a0"/>
    <w:uiPriority w:val="99"/>
    <w:semiHidden/>
    <w:rsid w:val="00042EA3"/>
  </w:style>
  <w:style w:type="character" w:customStyle="1" w:styleId="19">
    <w:name w:val="Нижний колонтитул Знак1"/>
    <w:basedOn w:val="a0"/>
    <w:uiPriority w:val="99"/>
    <w:semiHidden/>
    <w:rsid w:val="00042EA3"/>
  </w:style>
  <w:style w:type="character" w:customStyle="1" w:styleId="130">
    <w:name w:val="Заголовок 1 Знак3"/>
    <w:basedOn w:val="a0"/>
    <w:uiPriority w:val="9"/>
    <w:rsid w:val="00042EA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74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garantF1://12061610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0800200.200253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25267.8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12025267.70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garantF1://7025346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868EC7-5EB2-451A-B394-845656C32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49</Pages>
  <Words>8122</Words>
  <Characters>46300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2023-02-15T12:17:00Z</cp:lastPrinted>
  <dcterms:created xsi:type="dcterms:W3CDTF">2023-02-17T10:12:00Z</dcterms:created>
  <dcterms:modified xsi:type="dcterms:W3CDTF">2023-02-17T10:12:00Z</dcterms:modified>
</cp:coreProperties>
</file>