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Autospacing="1" w:afterAutospacing="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Свыше 80 тысяч электронных трудовых книжек оформило с начала года Отделение СФР по Челябинской области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i/>
          <w:i/>
        </w:rPr>
      </w:pPr>
      <w:r>
        <w:rPr>
          <w:i/>
        </w:rPr>
        <w:t>В регионе растет число граждан, перешедших на электронную трудовую книжку (ЭТК): удобный формат привычного документа доступен онлайн и обновляется практически сразу после того, как работодатель направил информацию в Отделение Социального фонда России по Челябинской области</w:t>
      </w:r>
      <w:r>
        <w:rPr/>
        <w:t xml:space="preserve">. </w:t>
      </w:r>
      <w:r>
        <w:rPr>
          <w:i/>
        </w:rPr>
        <w:t xml:space="preserve">С начала этого года свыше </w:t>
      </w:r>
      <w:r>
        <w:rPr>
          <w:i/>
          <w:color w:val="000000"/>
        </w:rPr>
        <w:t>2 700</w:t>
      </w:r>
      <w:r>
        <w:rPr>
          <w:i/>
        </w:rPr>
        <w:t xml:space="preserve"> предприятий и организаций региона уже передали для ЭТК сведения о своих наемных работниках. 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u w:val="single"/>
        </w:rPr>
      </w:pPr>
      <w:r>
        <w:rPr/>
        <w:t xml:space="preserve">Электронная трудовая книжка удобна тем, что обеспечивает прямой доступ к информации о профессиональной деятельности без участия работодателя. Это позволяет оперативно отслеживать кадровые изменения и при необходимости представлять данные в различные организации, в том числе для получения услуг.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>«В 2026 году Отделение Соцфонда внесло в электронные трудовые книжки жителей региона 220 тысяч записей о приеме на работу, переводе на другую должность и увольнение, а также выборе способа ведения сведений о трудовой деятельности», — рассказал исполняющий обязанности управляющего Отделением СФР по Челябинской области Владимир Шаронов.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Возможность отказаться от бумажной версии привычного документа появилась шесть лет назад. Работающие могут выбрать формат трудовой книжки: оставить бумажный вариант или перейти к цифровому. Подробная информация о порядке оформления ЭТК размещена </w:t>
      </w:r>
      <w:hyperlink r:id="rId2">
        <w:r>
          <w:rPr>
            <w:rStyle w:val="Style11"/>
          </w:rPr>
          <w:t>на официальном сайте СФР</w:t>
        </w:r>
      </w:hyperlink>
      <w:r>
        <w:rPr/>
        <w:t xml:space="preserve">. При этом у тех, кто впервые трудоустроился начиная с 2021 года, все сведения о периодах работы ведутся только в электронном виде. </w:t>
      </w:r>
    </w:p>
    <w:p>
      <w:pPr>
        <w:pStyle w:val="Normal"/>
        <w:spacing w:lineRule="auto" w:line="360" w:beforeAutospacing="1" w:afterAutospacing="1"/>
        <w:ind w:firstLine="851"/>
        <w:jc w:val="both"/>
        <w:rPr>
          <w:color w:val="000000"/>
        </w:rPr>
      </w:pPr>
      <w:r>
        <w:rPr>
          <w:color w:val="000000"/>
        </w:rPr>
        <w:t xml:space="preserve">Получить сведения из ЭТК проще всего в личном кабинете на портале госуслуг. </w:t>
      </w:r>
      <w:r>
        <w:rPr/>
        <w:t xml:space="preserve">При необходимости данные могут быть предоставлены в виде бумажной выписки </w:t>
      </w:r>
      <w:r>
        <w:rPr>
          <w:color w:val="000000"/>
        </w:rPr>
        <w:t xml:space="preserve">в ближайшей клиентской службе Отделения СФР по Челябинской области, МФЦ или у работодателя. </w:t>
      </w:r>
    </w:p>
    <w:p>
      <w:pPr>
        <w:pStyle w:val="Normal"/>
        <w:spacing w:lineRule="auto" w:line="360" w:beforeAutospacing="1" w:afterAutospacing="1"/>
        <w:ind w:firstLine="851"/>
        <w:jc w:val="both"/>
        <w:rPr/>
      </w:pPr>
      <w:r>
        <w:rPr/>
        <w:t xml:space="preserve">Дополнительная информация предоставляется по телефону единого контакт-центра: 8 800 100 00 01 (звонок бесплатный). </w:t>
      </w:r>
    </w:p>
    <w:sectPr>
      <w:headerReference w:type="default" r:id="rId3"/>
      <w:footerReference w:type="default" r:id="rId4"/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15.05.2026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uiPriority w:val="9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uiPriority w:val="9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Vkitposttextroot--oagnz">
    <w:name w:val="vkitposttext__root--oagnz"/>
    <w:basedOn w:val="Style9"/>
    <w:qFormat/>
    <w:rPr/>
  </w:style>
  <w:style w:type="character" w:styleId="Re-searchresult-list--find-item">
    <w:name w:val="re-search__result-list--find-item"/>
    <w:basedOn w:val="Style9"/>
    <w:qFormat/>
    <w:rPr/>
  </w:style>
  <w:style w:type="character" w:styleId="Vkitfeedposttextroot--priuq">
    <w:name w:val="vkitfeedposttext__root--priuq"/>
    <w:basedOn w:val="Style9"/>
    <w:qFormat/>
    <w:rPr/>
  </w:style>
  <w:style w:type="character" w:styleId="Extendedtext-short">
    <w:name w:val="extendedtext-short"/>
    <w:basedOn w:val="Style9"/>
    <w:qFormat/>
    <w:rPr/>
  </w:style>
  <w:style w:type="character" w:styleId="Text">
    <w:name w:val="text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770">
    <w:name w:val="Обычная таблица"/>
    <w:uiPriority w:val="99"/>
    <w:semiHidden/>
    <w:unhideWhenUsed/>
  </w:style>
  <w:style w:type="table" w:default="1" w:styleId="12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grazhdanam/etk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1</Pages>
  <Words>280</Words>
  <Characters>1796</Characters>
  <CharactersWithSpaces>2077</CharactersWithSpaces>
  <Paragraphs>11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2026-05-05T05:06:00Z</dcterms:created>
  <dc:creator>2202</dc:creator>
  <dc:description/>
  <dc:language>ru-RU</dc:language>
  <cp:lastModifiedBy>dv\\malashta_aa</cp:lastModifiedBy>
  <dcterms:modified xsi:type="dcterms:W3CDTF">2026-05-15T09:53:55Z</dcterms:modified>
  <cp:revision>26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