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Autospacing="1" w:afterAutospacing="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Более 2 тысяч льготных путевок на санаторно-курортное лечение выдало с начала года Отделение СФР по Челябинской области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i/>
          <w:i/>
        </w:rPr>
      </w:pPr>
      <w:r>
        <w:rPr>
          <w:i/>
        </w:rPr>
        <w:t xml:space="preserve">С начала года Отделение Социального фонда России по Челябинской области предоставило федеральным льготникам путевки на санаторно-курортное лечение, а также оплатило проезд к месту лечения и обратно. Всего на эти цели в 2026 году будет направлено 187,7 миллиона рублей. Проходить лечение жители региона смогут в  санаториях Южного Урала, Краснодарского края, Крыма и других регионов России.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К числу федеральных льготников относятся: люди с инвалидностью, ветераны боевых действий, участники Великой Отечественной войны, члены семей погибших (умерших) инвалидов войны, граждане, пострадавшие от радиации, и другие.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Для оформления путевки необходимо являться получателем льготы на санаторно-курортное лечение в рамках набора социальных услуг и проезда к месту лечения и </w:t>
      </w:r>
      <w:r>
        <w:rPr>
          <w:color w:val="000000"/>
        </w:rPr>
        <w:t xml:space="preserve">обратно, а также </w:t>
      </w:r>
      <w:r>
        <w:rPr/>
        <w:t>иметь подтвержденные медицинские основания для реабилитации.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«Для граждан с инвалидностью первой группы и детей с инвалидностью предусмотрена возможность получения второй путевки сопровождающему, а также оплата проезда для него к месту лечения и обратно», — рассказал исполняющий обязанности управляющего Отделением СФР по Челябинской области Владимир Шаронов.</w:t>
      </w:r>
    </w:p>
    <w:p>
      <w:pPr>
        <w:pStyle w:val="Normal"/>
        <w:spacing w:lineRule="auto" w:line="360" w:before="278" w:after="278"/>
        <w:ind w:firstLine="709"/>
        <w:jc w:val="both"/>
        <w:rPr/>
      </w:pPr>
      <w:r>
        <w:rPr/>
        <w:t xml:space="preserve">Путевки предоставляются в порядке очередности по дате подачи заявления и профилю заболевания. Проверить номер в очереди можно онлайн </w:t>
      </w:r>
      <w:hyperlink r:id="rId2">
        <w:r>
          <w:rPr>
            <w:rStyle w:val="Style11"/>
            <w:color w:val="000000"/>
          </w:rPr>
          <w:t>на сайте СФР</w:t>
        </w:r>
      </w:hyperlink>
      <w:r>
        <w:rPr/>
        <w:t xml:space="preserve">. Длительность </w:t>
      </w:r>
      <w:r>
        <w:rPr>
          <w:shd w:fill="FFFFFF" w:val="clear"/>
        </w:rPr>
        <w:t xml:space="preserve">санаторно-курортного </w:t>
      </w:r>
      <w:r>
        <w:rPr/>
        <w:t xml:space="preserve">лечения составляет 18 дней, для детей с инвалидностью  — 21 день, для пациентов с травмами и заболеваниями спинного или головного мозга — от 24 до 42 дней. </w:t>
      </w:r>
    </w:p>
    <w:p>
      <w:pPr>
        <w:pStyle w:val="Normal"/>
        <w:spacing w:lineRule="auto" w:line="360" w:before="278" w:after="278"/>
        <w:ind w:firstLine="709"/>
        <w:jc w:val="both"/>
        <w:rPr/>
      </w:pPr>
      <w:r>
        <w:rPr>
          <w:shd w:fill="FFFFFF" w:val="clear"/>
        </w:rPr>
        <w:t xml:space="preserve">Отделение СФР по Челябинской области предоставляет путевки на санаторно-курортное лечение в рамках заключенных государственных контрактов. Отбор санаториев осуществляется на конкурсной основе. </w:t>
      </w:r>
      <w:r>
        <w:rPr/>
        <w:t>Право самостоятельного выбора санатория законодательством не предусмотрено.</w:t>
      </w:r>
      <w:r>
        <w:rPr>
          <w:rStyle w:val="WW8Num1z4"/>
          <w:i/>
          <w:iCs/>
        </w:rPr>
        <w:t xml:space="preserve">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>
          <w:shd w:fill="FFFFFF" w:val="clear"/>
        </w:rPr>
        <w:t xml:space="preserve">Одновременно с путевкой на санаторно-курортное лечение Отделение СФР по Челябинской области предоставляет специальные талоны или именные </w:t>
      </w:r>
      <w:r>
        <w:rPr/>
        <w:t>направления на получение бесплатного проезда к месту лечения и обратно. С помощью электронного талона можно оформить билет на поезд на сайте РЖД.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«Жителям региона не нужно обращаться лично в кассу, так как Отделение Соцфонда самостоятельно направит информацию о льготе в транспортную компанию. Для оформления билета на поезд гражданину необходимо зарегистрироваться на сайте РЖД, выбрать маршрут, дату отправления, вагон и место. Когда будет предложено оформить билет по льготе Соцфонда — ввести номер электронного талона, данные паспорта и СНИЛС», — отметил исполняющий обязанности управляющего Отделением СФР по Челябинской области Владимир Шаронов.</w:t>
      </w:r>
    </w:p>
    <w:p>
      <w:pPr>
        <w:pStyle w:val="Normal"/>
        <w:spacing w:lineRule="auto" w:line="360" w:before="240" w:after="240"/>
        <w:ind w:firstLine="851"/>
        <w:jc w:val="both"/>
        <w:rPr/>
      </w:pPr>
      <w:r>
        <w:rPr/>
        <w:t>Для получения путевки необходимо подать заявление любым удобным способом: лично в клиентской службе Отделения СФР по Челябинской области или в МФЦ, через портал госуслуг либо по почте. Кроме того, от лечащего врача предоставляется справка по форме 070/у о наличии показаний к санаторно-курортному лечению и отсутствии противопоказаний.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Дополнительная информация предоставляется по телефону единого контакт-центра: 8 800 100 00 01 (звонок бесплатный). </w:t>
      </w:r>
    </w:p>
    <w:sectPr>
      <w:headerReference w:type="default" r:id="rId3"/>
      <w:footerReference w:type="default" r:id="rId4"/>
      <w:type w:val="nextPage"/>
      <w:pgSz w:w="11906" w:h="16838"/>
      <w:pgMar w:left="1418" w:right="924" w:gutter="0" w:header="567" w:top="2371" w:footer="240" w:bottom="1135"/>
      <w:pgNumType w:start="1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08.05.2026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1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2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uiPriority w:val="9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uiPriority w:val="9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Vkitposttextroot--oagnz">
    <w:name w:val="vkitposttext__root--oagnz"/>
    <w:basedOn w:val="Style9"/>
    <w:qFormat/>
    <w:rPr/>
  </w:style>
  <w:style w:type="character" w:styleId="Re-searchresult-list--find-item">
    <w:name w:val="re-search__result-list--find-item"/>
    <w:basedOn w:val="Style9"/>
    <w:qFormat/>
    <w:rPr/>
  </w:style>
  <w:style w:type="character" w:styleId="Vkitfeedposttextroot--priuq">
    <w:name w:val="vkitfeedposttext__root--priuq"/>
    <w:basedOn w:val="Style9"/>
    <w:qFormat/>
    <w:rPr/>
  </w:style>
  <w:style w:type="character" w:styleId="Extendedtext-short">
    <w:name w:val="extendedtext-short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67">
    <w:name w:val="Обычная таблица"/>
    <w:uiPriority w:val="99"/>
    <w:semiHidden/>
    <w:unhideWhenUsed/>
  </w:style>
  <w:style w:type="table" w:default="1" w:styleId="1291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grazhdanam/socialnaya_podderzhka/federal_beneficiaries/sk_treatment/~12079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428</Words>
  <Characters>2859</Characters>
  <CharactersWithSpaces>3288</CharactersWithSpaces>
  <Paragraphs>15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2026-04-16T16:07:00Z</dcterms:created>
  <dc:creator>2202</dc:creator>
  <dc:description/>
  <dc:language>ru-RU</dc:language>
  <cp:lastModifiedBy>dv\\malashta_aa</cp:lastModifiedBy>
  <dcterms:modified xsi:type="dcterms:W3CDTF">2026-05-15T06:15:20Z</dcterms:modified>
  <cp:revision>117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