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F39" w:rsidRDefault="00E36F39">
      <w:pPr>
        <w:spacing w:line="240" w:lineRule="auto"/>
        <w:jc w:val="left"/>
        <w:rPr>
          <w:sz w:val="18"/>
          <w:szCs w:val="18"/>
        </w:rPr>
      </w:pPr>
    </w:p>
    <w:p w:rsidR="002452B4" w:rsidRPr="00385A84" w:rsidRDefault="00196364" w:rsidP="002452B4">
      <w:pPr>
        <w:spacing w:line="198" w:lineRule="atLeast"/>
        <w:jc w:val="center"/>
        <w:rPr>
          <w:rStyle w:val="15"/>
          <w:rFonts w:eastAsia="Times New Roman"/>
          <w:color w:val="FF0000"/>
          <w:spacing w:val="-4"/>
          <w:sz w:val="26"/>
          <w:szCs w:val="26"/>
          <w:lang w:eastAsia="en-US"/>
        </w:rPr>
      </w:pPr>
      <w:r>
        <w:rPr>
          <w:rStyle w:val="15"/>
          <w:sz w:val="26"/>
          <w:szCs w:val="26"/>
        </w:rPr>
        <w:t xml:space="preserve">ЗАДАНИЕ </w:t>
      </w:r>
      <w:r>
        <w:rPr>
          <w:rStyle w:val="15"/>
          <w:sz w:val="26"/>
          <w:szCs w:val="26"/>
        </w:rPr>
        <w:br w:type="textWrapping" w:clear="all"/>
      </w:r>
      <w:r>
        <w:rPr>
          <w:rStyle w:val="15"/>
          <w:rFonts w:eastAsia="Times New Roman"/>
          <w:color w:val="000000"/>
          <w:sz w:val="26"/>
          <w:szCs w:val="26"/>
          <w:lang w:eastAsia="en-US"/>
        </w:rPr>
        <w:t xml:space="preserve"> на выполнение инженерных изысканий, необходимых дл</w:t>
      </w:r>
      <w:r w:rsidR="002452B4">
        <w:rPr>
          <w:rStyle w:val="15"/>
          <w:rFonts w:eastAsia="Times New Roman"/>
          <w:color w:val="000000"/>
          <w:sz w:val="26"/>
          <w:szCs w:val="26"/>
          <w:lang w:eastAsia="en-US"/>
        </w:rPr>
        <w:t xml:space="preserve">я подготовки </w:t>
      </w:r>
      <w:r w:rsidR="00A8788A">
        <w:rPr>
          <w:rFonts w:eastAsia="Times New Roman"/>
          <w:color w:val="FF0000"/>
          <w:sz w:val="26"/>
          <w:szCs w:val="26"/>
          <w:lang w:eastAsia="en-US"/>
        </w:rPr>
        <w:t>наименование документации, ориентировочные границы территории</w:t>
      </w:r>
      <w:bookmarkStart w:id="0" w:name="_GoBack"/>
      <w:bookmarkEnd w:id="0"/>
    </w:p>
    <w:p w:rsidR="00E36F39" w:rsidRDefault="00196364">
      <w:pPr>
        <w:spacing w:line="198" w:lineRule="atLeast"/>
        <w:jc w:val="center"/>
      </w:pPr>
      <w:r>
        <w:rPr>
          <w:sz w:val="26"/>
          <w:szCs w:val="26"/>
        </w:rPr>
        <w:t>(далее – документация по планировке территории)</w:t>
      </w:r>
    </w:p>
    <w:p w:rsidR="00E36F39" w:rsidRDefault="00E36F39">
      <w:pPr>
        <w:spacing w:line="240" w:lineRule="auto"/>
        <w:jc w:val="center"/>
        <w:rPr>
          <w:sz w:val="20"/>
          <w:szCs w:val="20"/>
        </w:rPr>
      </w:pPr>
    </w:p>
    <w:tbl>
      <w:tblPr>
        <w:tblW w:w="5000" w:type="pct"/>
        <w:tblLook w:val="04A0" w:firstRow="1" w:lastRow="0" w:firstColumn="1" w:lastColumn="0" w:noHBand="0" w:noVBand="1"/>
      </w:tblPr>
      <w:tblGrid>
        <w:gridCol w:w="574"/>
        <w:gridCol w:w="3220"/>
        <w:gridCol w:w="6060"/>
      </w:tblGrid>
      <w:tr w:rsidR="00E36F39" w:rsidTr="007D163A">
        <w:tc>
          <w:tcPr>
            <w:tcW w:w="291" w:type="pct"/>
            <w:tcBorders>
              <w:top w:val="single" w:sz="4" w:space="0" w:color="000000"/>
              <w:left w:val="single" w:sz="4" w:space="0" w:color="000000"/>
              <w:bottom w:val="single" w:sz="4" w:space="0" w:color="000000"/>
            </w:tcBorders>
          </w:tcPr>
          <w:p w:rsidR="00E36F39" w:rsidRDefault="00196364">
            <w:pPr>
              <w:jc w:val="center"/>
            </w:pPr>
            <w:r>
              <w:rPr>
                <w:sz w:val="26"/>
                <w:szCs w:val="26"/>
                <w:lang w:eastAsia="en-US"/>
              </w:rPr>
              <w:t>№</w:t>
            </w:r>
          </w:p>
          <w:p w:rsidR="00E36F39" w:rsidRDefault="00E36F39">
            <w:pPr>
              <w:jc w:val="center"/>
              <w:rPr>
                <w:sz w:val="12"/>
                <w:szCs w:val="12"/>
                <w:lang w:eastAsia="en-US"/>
              </w:rPr>
            </w:pPr>
          </w:p>
        </w:tc>
        <w:tc>
          <w:tcPr>
            <w:tcW w:w="1634" w:type="pct"/>
            <w:tcBorders>
              <w:top w:val="single" w:sz="4" w:space="0" w:color="000000"/>
              <w:left w:val="single" w:sz="4" w:space="0" w:color="000000"/>
              <w:bottom w:val="single" w:sz="4" w:space="0" w:color="000000"/>
            </w:tcBorders>
          </w:tcPr>
          <w:p w:rsidR="00E36F39" w:rsidRDefault="00196364">
            <w:r>
              <w:rPr>
                <w:sz w:val="26"/>
                <w:szCs w:val="26"/>
                <w:lang w:eastAsia="en-US"/>
              </w:rPr>
              <w:t>Наименование</w:t>
            </w:r>
          </w:p>
        </w:tc>
        <w:tc>
          <w:tcPr>
            <w:tcW w:w="3075" w:type="pct"/>
            <w:tcBorders>
              <w:top w:val="single" w:sz="4" w:space="0" w:color="000000"/>
              <w:left w:val="single" w:sz="4" w:space="0" w:color="000000"/>
              <w:bottom w:val="single" w:sz="4" w:space="0" w:color="000000"/>
              <w:right w:val="single" w:sz="4" w:space="0" w:color="000000"/>
            </w:tcBorders>
            <w:vAlign w:val="center"/>
          </w:tcPr>
          <w:p w:rsidR="00E36F39" w:rsidRDefault="00196364">
            <w:pPr>
              <w:jc w:val="center"/>
            </w:pPr>
            <w:r>
              <w:rPr>
                <w:sz w:val="26"/>
                <w:szCs w:val="26"/>
                <w:lang w:eastAsia="en-US"/>
              </w:rPr>
              <w:t xml:space="preserve">Содержание </w:t>
            </w:r>
          </w:p>
          <w:p w:rsidR="00E36F39" w:rsidRDefault="00E36F39">
            <w:pPr>
              <w:jc w:val="center"/>
              <w:rPr>
                <w:sz w:val="12"/>
                <w:szCs w:val="12"/>
                <w:lang w:eastAsia="en-US"/>
              </w:rPr>
            </w:pPr>
          </w:p>
        </w:tc>
      </w:tr>
      <w:tr w:rsidR="00E36F39" w:rsidTr="007D163A">
        <w:tc>
          <w:tcPr>
            <w:tcW w:w="291" w:type="pct"/>
            <w:tcBorders>
              <w:top w:val="single" w:sz="4" w:space="0" w:color="000000"/>
              <w:left w:val="single" w:sz="4" w:space="0" w:color="000000"/>
              <w:bottom w:val="single" w:sz="4" w:space="0" w:color="000000"/>
            </w:tcBorders>
          </w:tcPr>
          <w:p w:rsidR="00E36F39" w:rsidRDefault="00E36F39">
            <w:pPr>
              <w:widowControl w:val="0"/>
              <w:numPr>
                <w:ilvl w:val="0"/>
                <w:numId w:val="1"/>
              </w:numPr>
              <w:spacing w:after="60"/>
              <w:jc w:val="center"/>
              <w:rPr>
                <w:sz w:val="26"/>
                <w:szCs w:val="26"/>
                <w:lang w:eastAsia="en-US"/>
              </w:rPr>
            </w:pPr>
          </w:p>
        </w:tc>
        <w:tc>
          <w:tcPr>
            <w:tcW w:w="1634" w:type="pct"/>
            <w:tcBorders>
              <w:top w:val="single" w:sz="4" w:space="0" w:color="000000"/>
              <w:left w:val="single" w:sz="4" w:space="0" w:color="000000"/>
              <w:bottom w:val="single" w:sz="4" w:space="0" w:color="000000"/>
            </w:tcBorders>
          </w:tcPr>
          <w:p w:rsidR="00E36F39" w:rsidRDefault="00196364">
            <w:pPr>
              <w:spacing w:line="228" w:lineRule="auto"/>
            </w:pPr>
            <w:r>
              <w:rPr>
                <w:sz w:val="26"/>
                <w:szCs w:val="26"/>
                <w:lang w:eastAsia="en-US"/>
              </w:rPr>
              <w:t>Сведения об объекте инженерных изысканий</w:t>
            </w:r>
          </w:p>
        </w:tc>
        <w:tc>
          <w:tcPr>
            <w:tcW w:w="3075" w:type="pct"/>
            <w:tcBorders>
              <w:top w:val="single" w:sz="4" w:space="0" w:color="000000"/>
              <w:left w:val="single" w:sz="4" w:space="0" w:color="000000"/>
              <w:bottom w:val="single" w:sz="4" w:space="0" w:color="000000"/>
              <w:right w:val="single" w:sz="4" w:space="0" w:color="000000"/>
            </w:tcBorders>
            <w:vAlign w:val="center"/>
          </w:tcPr>
          <w:p w:rsidR="00E36F39" w:rsidRPr="003A1482" w:rsidRDefault="00196364" w:rsidP="003A1482">
            <w:pPr>
              <w:spacing w:line="228" w:lineRule="auto"/>
              <w:rPr>
                <w:color w:val="FF0000"/>
              </w:rPr>
            </w:pPr>
            <w:r w:rsidRPr="003A1482">
              <w:rPr>
                <w:rStyle w:val="15"/>
                <w:rFonts w:eastAsia="Times New Roman"/>
                <w:color w:val="FF0000"/>
                <w:spacing w:val="-4"/>
                <w:sz w:val="26"/>
                <w:szCs w:val="26"/>
                <w:lang w:eastAsia="en-US"/>
              </w:rPr>
              <w:t>в соответствии с границами документации по планировке территории (</w:t>
            </w:r>
            <w:r w:rsidR="003A1482">
              <w:rPr>
                <w:rStyle w:val="15"/>
                <w:rFonts w:eastAsia="Times New Roman"/>
                <w:color w:val="FF0000"/>
                <w:spacing w:val="-4"/>
                <w:sz w:val="26"/>
                <w:szCs w:val="26"/>
                <w:lang w:eastAsia="en-US"/>
              </w:rPr>
              <w:t>вид документации по планировке территории</w:t>
            </w:r>
            <w:r w:rsidR="008847FE" w:rsidRPr="003A1482">
              <w:rPr>
                <w:rStyle w:val="15"/>
                <w:rFonts w:eastAsia="Times New Roman"/>
                <w:color w:val="FF0000"/>
                <w:spacing w:val="-4"/>
                <w:sz w:val="26"/>
                <w:szCs w:val="26"/>
                <w:lang w:eastAsia="en-US"/>
              </w:rPr>
              <w:t xml:space="preserve">) город Магнитогорск </w:t>
            </w:r>
            <w:r w:rsidR="002452B4" w:rsidRPr="003A1482">
              <w:rPr>
                <w:rStyle w:val="15"/>
                <w:rFonts w:eastAsia="Times New Roman"/>
                <w:color w:val="FF0000"/>
                <w:spacing w:val="-4"/>
                <w:sz w:val="26"/>
                <w:szCs w:val="26"/>
                <w:lang w:eastAsia="en-US"/>
              </w:rPr>
              <w:t xml:space="preserve">в районе </w:t>
            </w:r>
            <w:r w:rsidR="003A1482">
              <w:rPr>
                <w:rStyle w:val="15"/>
                <w:rFonts w:eastAsia="Times New Roman"/>
                <w:color w:val="FF0000"/>
                <w:spacing w:val="-4"/>
                <w:sz w:val="26"/>
                <w:szCs w:val="26"/>
                <w:lang w:eastAsia="en-US"/>
              </w:rPr>
              <w:t>…….</w:t>
            </w:r>
          </w:p>
        </w:tc>
      </w:tr>
      <w:tr w:rsidR="00E36F39" w:rsidTr="007D163A">
        <w:tc>
          <w:tcPr>
            <w:tcW w:w="291" w:type="pct"/>
            <w:tcBorders>
              <w:top w:val="single" w:sz="4" w:space="0" w:color="000000"/>
              <w:left w:val="single" w:sz="4" w:space="0" w:color="000000"/>
              <w:bottom w:val="single" w:sz="4" w:space="0" w:color="000000"/>
            </w:tcBorders>
          </w:tcPr>
          <w:p w:rsidR="00E36F39" w:rsidRDefault="00E36F39">
            <w:pPr>
              <w:widowControl w:val="0"/>
              <w:numPr>
                <w:ilvl w:val="0"/>
                <w:numId w:val="1"/>
              </w:numPr>
              <w:spacing w:after="60"/>
              <w:jc w:val="center"/>
              <w:rPr>
                <w:sz w:val="26"/>
                <w:szCs w:val="26"/>
                <w:highlight w:val="yellow"/>
              </w:rPr>
            </w:pPr>
          </w:p>
        </w:tc>
        <w:tc>
          <w:tcPr>
            <w:tcW w:w="1634" w:type="pct"/>
            <w:tcBorders>
              <w:top w:val="single" w:sz="4" w:space="0" w:color="000000"/>
              <w:left w:val="single" w:sz="4" w:space="0" w:color="000000"/>
              <w:bottom w:val="single" w:sz="4" w:space="0" w:color="000000"/>
            </w:tcBorders>
          </w:tcPr>
          <w:p w:rsidR="00E36F39" w:rsidRDefault="00196364">
            <w:pPr>
              <w:spacing w:line="228" w:lineRule="auto"/>
            </w:pPr>
            <w:r>
              <w:rPr>
                <w:sz w:val="26"/>
                <w:szCs w:val="26"/>
                <w:lang w:eastAsia="en-US"/>
              </w:rPr>
              <w:t>Основные требования к результатам инженерных изысканий</w:t>
            </w:r>
          </w:p>
        </w:tc>
        <w:tc>
          <w:tcPr>
            <w:tcW w:w="3075" w:type="pct"/>
            <w:tcBorders>
              <w:top w:val="single" w:sz="4" w:space="0" w:color="000000"/>
              <w:left w:val="single" w:sz="4" w:space="0" w:color="000000"/>
              <w:bottom w:val="single" w:sz="4" w:space="0" w:color="000000"/>
              <w:right w:val="single" w:sz="4" w:space="0" w:color="000000"/>
            </w:tcBorders>
            <w:vAlign w:val="center"/>
          </w:tcPr>
          <w:p w:rsidR="00E36F39" w:rsidRDefault="009C77F8">
            <w:pPr>
              <w:spacing w:line="228" w:lineRule="auto"/>
            </w:pPr>
            <w:r>
              <w:rPr>
                <w:rStyle w:val="15"/>
                <w:rFonts w:eastAsia="Times New Roman"/>
                <w:color w:val="000000"/>
                <w:sz w:val="26"/>
                <w:szCs w:val="26"/>
                <w:lang w:eastAsia="en-US"/>
              </w:rPr>
              <w:t>П</w:t>
            </w:r>
            <w:r w:rsidR="00196364">
              <w:rPr>
                <w:rStyle w:val="15"/>
                <w:rFonts w:eastAsia="Times New Roman"/>
                <w:color w:val="000000"/>
                <w:sz w:val="26"/>
                <w:szCs w:val="26"/>
                <w:lang w:eastAsia="en-US"/>
              </w:rPr>
              <w:t>еречень нормативных правовых актов, в соответствии с требованиями которых необходимо выполнять инженерные изыскания:</w:t>
            </w:r>
          </w:p>
          <w:p w:rsidR="00E36F39" w:rsidRDefault="00196364">
            <w:pPr>
              <w:spacing w:line="228" w:lineRule="auto"/>
            </w:pPr>
            <w:r>
              <w:rPr>
                <w:rStyle w:val="15"/>
                <w:rFonts w:eastAsia="Times New Roman"/>
                <w:color w:val="000000"/>
                <w:sz w:val="26"/>
                <w:szCs w:val="26"/>
                <w:lang w:eastAsia="en-US"/>
              </w:rPr>
              <w:t>1) Федеральный закон от 30.12.2015</w:t>
            </w:r>
            <w:r w:rsidR="007D163A">
              <w:rPr>
                <w:rStyle w:val="15"/>
                <w:rFonts w:eastAsia="Times New Roman"/>
                <w:color w:val="000000"/>
                <w:sz w:val="26"/>
                <w:szCs w:val="26"/>
                <w:lang w:eastAsia="en-US"/>
              </w:rPr>
              <w:t xml:space="preserve"> </w:t>
            </w:r>
            <w:r>
              <w:rPr>
                <w:rStyle w:val="15"/>
                <w:rFonts w:eastAsia="Times New Roman"/>
                <w:color w:val="000000"/>
                <w:sz w:val="26"/>
                <w:szCs w:val="26"/>
                <w:lang w:eastAsia="en-US"/>
              </w:rPr>
              <w:t>№ 431-ФЗ «О геодезии, картографии и пространственных данных                               и о внесении изменений в отдельные законодательные акты Российской Федерации»;</w:t>
            </w:r>
          </w:p>
          <w:p w:rsidR="00E36F39" w:rsidRDefault="00196364">
            <w:pPr>
              <w:spacing w:line="228" w:lineRule="auto"/>
            </w:pPr>
            <w:r>
              <w:rPr>
                <w:rStyle w:val="15"/>
                <w:rFonts w:eastAsia="Times New Roman"/>
                <w:color w:val="000000"/>
                <w:sz w:val="26"/>
                <w:szCs w:val="26"/>
                <w:lang w:eastAsia="en-US"/>
              </w:rPr>
              <w:t>2) постановление Правительства Российской Федерации от 31.03.2017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19.01.2006                       № 20»;</w:t>
            </w:r>
          </w:p>
          <w:p w:rsidR="00E36F39" w:rsidRDefault="00196364">
            <w:pPr>
              <w:spacing w:line="228" w:lineRule="auto"/>
            </w:pPr>
            <w:r>
              <w:rPr>
                <w:rStyle w:val="15"/>
                <w:rFonts w:eastAsia="Times New Roman"/>
                <w:color w:val="000000"/>
                <w:sz w:val="26"/>
                <w:szCs w:val="26"/>
                <w:lang w:eastAsia="en-US"/>
              </w:rPr>
              <w:t>3) постановление Правительства Российской Федерации от 22.04.201</w:t>
            </w:r>
            <w:r w:rsidR="007D163A">
              <w:rPr>
                <w:rStyle w:val="15"/>
                <w:rFonts w:eastAsia="Times New Roman"/>
                <w:color w:val="000000"/>
                <w:sz w:val="26"/>
                <w:szCs w:val="26"/>
                <w:lang w:eastAsia="en-US"/>
              </w:rPr>
              <w:t xml:space="preserve">7 № 485 «О составе материалов </w:t>
            </w:r>
            <w:r>
              <w:rPr>
                <w:rStyle w:val="15"/>
                <w:rFonts w:eastAsia="Times New Roman"/>
                <w:color w:val="000000"/>
                <w:sz w:val="26"/>
                <w:szCs w:val="26"/>
                <w:lang w:eastAsia="en-US"/>
              </w:rPr>
              <w:t>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о форме</w:t>
            </w:r>
            <w:r w:rsidR="007D163A">
              <w:rPr>
                <w:rStyle w:val="15"/>
                <w:rFonts w:eastAsia="Times New Roman"/>
                <w:color w:val="000000"/>
                <w:sz w:val="26"/>
                <w:szCs w:val="26"/>
                <w:lang w:eastAsia="en-US"/>
              </w:rPr>
              <w:t xml:space="preserve"> </w:t>
            </w:r>
            <w:r>
              <w:rPr>
                <w:rStyle w:val="15"/>
                <w:rFonts w:eastAsia="Times New Roman"/>
                <w:color w:val="000000"/>
                <w:sz w:val="26"/>
                <w:szCs w:val="26"/>
                <w:lang w:eastAsia="en-US"/>
              </w:rPr>
              <w:t>и порядке их представления»;</w:t>
            </w:r>
          </w:p>
          <w:p w:rsidR="00E36F39" w:rsidRDefault="00196364">
            <w:pPr>
              <w:spacing w:line="228" w:lineRule="auto"/>
            </w:pPr>
            <w:r>
              <w:rPr>
                <w:rStyle w:val="15"/>
                <w:rFonts w:eastAsia="Times New Roman"/>
                <w:color w:val="000000"/>
                <w:sz w:val="26"/>
                <w:szCs w:val="26"/>
                <w:lang w:eastAsia="en-US"/>
              </w:rPr>
              <w:t>4) СП 47.13330.2016 «Свод правил. Инженерные изыскания для строительства. Основные положения. Актуализированная редакция СНиП 11-02-96», утвержденный приказом Министерства строительства и ж</w:t>
            </w:r>
            <w:r w:rsidR="007D163A">
              <w:rPr>
                <w:rStyle w:val="15"/>
                <w:rFonts w:eastAsia="Times New Roman"/>
                <w:color w:val="000000"/>
                <w:sz w:val="26"/>
                <w:szCs w:val="26"/>
                <w:lang w:eastAsia="en-US"/>
              </w:rPr>
              <w:t xml:space="preserve">илищно-коммунального хозяйства </w:t>
            </w:r>
            <w:r>
              <w:rPr>
                <w:rStyle w:val="15"/>
                <w:rFonts w:eastAsia="Times New Roman"/>
                <w:color w:val="000000"/>
                <w:sz w:val="26"/>
                <w:szCs w:val="26"/>
                <w:lang w:eastAsia="en-US"/>
              </w:rPr>
              <w:t>Российской Федерации от 30.12.2016         № 1033/пр;</w:t>
            </w:r>
          </w:p>
          <w:p w:rsidR="00E36F39" w:rsidRDefault="00196364">
            <w:pPr>
              <w:spacing w:line="228" w:lineRule="auto"/>
            </w:pPr>
            <w:r>
              <w:rPr>
                <w:rStyle w:val="15"/>
                <w:rFonts w:eastAsia="Times New Roman"/>
                <w:color w:val="000000"/>
                <w:sz w:val="26"/>
                <w:szCs w:val="26"/>
                <w:lang w:eastAsia="en-US"/>
              </w:rPr>
              <w:t>5) СП 438.1325800.2019 «Свод правил. Инженерные изыскания при планировке территорий. Общие требования», утвержденный приказом Министерства строительства и жилищно-коммунального хозяйства Российской Федерации от 25.02.2019 № 127/пр;</w:t>
            </w:r>
          </w:p>
          <w:p w:rsidR="00E36F39" w:rsidRDefault="00196364">
            <w:pPr>
              <w:spacing w:line="228" w:lineRule="auto"/>
            </w:pPr>
            <w:r>
              <w:rPr>
                <w:rStyle w:val="15"/>
                <w:rFonts w:eastAsia="Times New Roman"/>
                <w:color w:val="000000"/>
                <w:sz w:val="26"/>
                <w:szCs w:val="26"/>
                <w:lang w:eastAsia="en-US"/>
              </w:rPr>
              <w:t xml:space="preserve">6) СП 11-102-97 «Система нормативных </w:t>
            </w:r>
            <w:r>
              <w:rPr>
                <w:rStyle w:val="15"/>
                <w:rFonts w:eastAsia="Times New Roman"/>
                <w:color w:val="000000"/>
                <w:sz w:val="26"/>
                <w:szCs w:val="26"/>
                <w:lang w:eastAsia="en-US"/>
              </w:rPr>
              <w:lastRenderedPageBreak/>
              <w:t>документов в строительстве. Свод правил по инженерным изысканиям для строительства. Инженерно-экологические изыскания для строительства», одобренный письмом Департамента развития научно-технической политики и проектно-изыскательских работ                    Госстроя Российской Федерации от 10.07.1997 № 9-1-1/69;</w:t>
            </w:r>
          </w:p>
          <w:p w:rsidR="00E36F39" w:rsidRDefault="00196364">
            <w:pPr>
              <w:spacing w:line="228" w:lineRule="auto"/>
            </w:pPr>
            <w:r>
              <w:rPr>
                <w:rStyle w:val="15"/>
                <w:rFonts w:eastAsia="Times New Roman"/>
                <w:color w:val="000000"/>
                <w:sz w:val="26"/>
                <w:szCs w:val="26"/>
                <w:lang w:eastAsia="en-US"/>
              </w:rPr>
              <w:t>7) СП 11-103-97 «Система нормативных документов в строительстве. Свод правил по инженерным изысканиям для строительства. Инженерно-гидрометеорологические изыскания для строительства», одобренный письмом Департамента развития научно-технической политики и проектно-изыскательских работ Госстроя Российской Федерации от 10.07.1997 № 9-1-1/69;</w:t>
            </w:r>
          </w:p>
          <w:p w:rsidR="00E36F39" w:rsidRDefault="00196364">
            <w:pPr>
              <w:spacing w:line="228" w:lineRule="auto"/>
            </w:pPr>
            <w:r>
              <w:rPr>
                <w:rStyle w:val="15"/>
                <w:rFonts w:eastAsia="Times New Roman"/>
                <w:color w:val="000000"/>
                <w:sz w:val="26"/>
                <w:szCs w:val="26"/>
                <w:lang w:eastAsia="en-US"/>
              </w:rPr>
              <w:t>8) </w:t>
            </w:r>
            <w:r w:rsidR="00F62842" w:rsidRPr="00F62842">
              <w:rPr>
                <w:rFonts w:eastAsia="Times New Roman"/>
                <w:color w:val="000000"/>
                <w:sz w:val="26"/>
                <w:szCs w:val="26"/>
                <w:lang w:eastAsia="en-US"/>
              </w:rPr>
              <w:t>СП 317.1325800.2017 «Система нормативных документов в строительстве. Свод правил по инженерно-геодезическим изысканиям для строительства. Общие правила производства работ», утв. и введен в действие Приказом Минстроя России от 22.12.2017 N 1702/пр</w:t>
            </w:r>
            <w:r>
              <w:rPr>
                <w:rStyle w:val="15"/>
                <w:rFonts w:eastAsia="Times New Roman"/>
                <w:color w:val="000000"/>
                <w:sz w:val="26"/>
                <w:szCs w:val="26"/>
                <w:lang w:eastAsia="en-US"/>
              </w:rPr>
              <w:t>;</w:t>
            </w:r>
          </w:p>
          <w:p w:rsidR="00E36F39" w:rsidRDefault="00196364">
            <w:pPr>
              <w:spacing w:line="228" w:lineRule="auto"/>
              <w:rPr>
                <w:rStyle w:val="15"/>
                <w:rFonts w:eastAsia="Times New Roman"/>
                <w:color w:val="000000"/>
                <w:sz w:val="26"/>
                <w:szCs w:val="26"/>
                <w:lang w:eastAsia="en-US"/>
              </w:rPr>
            </w:pPr>
            <w:r>
              <w:rPr>
                <w:rStyle w:val="15"/>
                <w:rFonts w:eastAsia="Times New Roman"/>
                <w:color w:val="000000"/>
                <w:sz w:val="26"/>
                <w:szCs w:val="26"/>
                <w:lang w:eastAsia="en-US"/>
              </w:rPr>
              <w:t>9) СП 11-105-97 «Система нормативных документов в строительстве. Свод правил по инженерным изысканиям для строительства. Инженерно-геологические изыскания для строительства», одобренный письмом Департамента развит</w:t>
            </w:r>
            <w:r w:rsidR="007D163A">
              <w:rPr>
                <w:rStyle w:val="15"/>
                <w:rFonts w:eastAsia="Times New Roman"/>
                <w:color w:val="000000"/>
                <w:sz w:val="26"/>
                <w:szCs w:val="26"/>
                <w:lang w:eastAsia="en-US"/>
              </w:rPr>
              <w:t xml:space="preserve">ия научно-технической политики </w:t>
            </w:r>
            <w:r>
              <w:rPr>
                <w:rStyle w:val="15"/>
                <w:rFonts w:eastAsia="Times New Roman"/>
                <w:color w:val="000000"/>
                <w:sz w:val="26"/>
                <w:szCs w:val="26"/>
                <w:lang w:eastAsia="en-US"/>
              </w:rPr>
              <w:t>и проектно-изыскательских работ                    Госстроя России от 14.10.1997 № 9-4/116</w:t>
            </w:r>
          </w:p>
          <w:p w:rsidR="002452B4" w:rsidRDefault="002452B4">
            <w:pPr>
              <w:spacing w:line="228" w:lineRule="auto"/>
              <w:rPr>
                <w:rStyle w:val="15"/>
                <w:rFonts w:eastAsia="Times New Roman"/>
                <w:color w:val="000000"/>
                <w:sz w:val="26"/>
                <w:szCs w:val="26"/>
                <w:lang w:eastAsia="en-US"/>
              </w:rPr>
            </w:pPr>
            <w:r>
              <w:rPr>
                <w:rStyle w:val="15"/>
                <w:rFonts w:eastAsia="Times New Roman"/>
                <w:color w:val="000000"/>
                <w:sz w:val="26"/>
                <w:szCs w:val="26"/>
                <w:lang w:eastAsia="en-US"/>
              </w:rPr>
              <w:t>10) Постановление администрации города Магнитогорска</w:t>
            </w:r>
            <w:r w:rsidR="000600DF">
              <w:rPr>
                <w:rStyle w:val="15"/>
                <w:rFonts w:eastAsia="Times New Roman"/>
                <w:color w:val="000000"/>
                <w:sz w:val="26"/>
                <w:szCs w:val="26"/>
                <w:lang w:eastAsia="en-US"/>
              </w:rPr>
              <w:t xml:space="preserve"> Челябинской области от 10.06.2013 №7741-П «О рекомендуемых требованиях к материалам (отчетам), выполняемым по результатам инженерно-геодезических работ на территории муниципального образования – город Магнитогорск»</w:t>
            </w:r>
            <w:r w:rsidR="00F62842">
              <w:rPr>
                <w:rStyle w:val="15"/>
                <w:rFonts w:eastAsia="Times New Roman"/>
                <w:color w:val="000000"/>
                <w:sz w:val="26"/>
                <w:szCs w:val="26"/>
                <w:lang w:eastAsia="en-US"/>
              </w:rPr>
              <w:t>;</w:t>
            </w:r>
          </w:p>
          <w:p w:rsidR="00F62842" w:rsidRDefault="00F62842">
            <w:pPr>
              <w:spacing w:line="228" w:lineRule="auto"/>
            </w:pPr>
            <w:r>
              <w:rPr>
                <w:rStyle w:val="15"/>
                <w:rFonts w:eastAsia="Times New Roman"/>
                <w:color w:val="000000"/>
                <w:sz w:val="26"/>
                <w:szCs w:val="26"/>
                <w:lang w:eastAsia="en-US"/>
              </w:rPr>
              <w:t>11).</w:t>
            </w:r>
            <w:r w:rsidRPr="00F62842">
              <w:rPr>
                <w:rFonts w:eastAsia="Times New Roman"/>
                <w:color w:val="000000"/>
                <w:lang w:eastAsia="en-US"/>
              </w:rPr>
              <w:t xml:space="preserve"> </w:t>
            </w:r>
            <w:r w:rsidRPr="00F62842">
              <w:rPr>
                <w:rFonts w:eastAsia="Times New Roman"/>
                <w:color w:val="000000"/>
                <w:sz w:val="26"/>
                <w:szCs w:val="26"/>
                <w:lang w:eastAsia="en-US"/>
              </w:rPr>
              <w:t>Приказ Главного управления геодезии и картографии при Совете Министров СССР от 25 ноября 1986 года N 584п "Об утверждении "Условных знаков для топографических планов масштабов 1:5 000, 1:2 000, 1:1 000 и 1:500"</w:t>
            </w:r>
            <w:r>
              <w:rPr>
                <w:rStyle w:val="15"/>
                <w:rFonts w:eastAsia="Times New Roman"/>
                <w:color w:val="000000"/>
                <w:sz w:val="26"/>
                <w:szCs w:val="26"/>
                <w:lang w:eastAsia="en-US"/>
              </w:rPr>
              <w:t xml:space="preserve"> </w:t>
            </w:r>
          </w:p>
        </w:tc>
      </w:tr>
      <w:tr w:rsidR="00E36F39" w:rsidTr="007D163A">
        <w:tc>
          <w:tcPr>
            <w:tcW w:w="291" w:type="pct"/>
            <w:tcBorders>
              <w:top w:val="single" w:sz="4" w:space="0" w:color="000000"/>
              <w:left w:val="single" w:sz="4" w:space="0" w:color="000000"/>
              <w:bottom w:val="single" w:sz="4" w:space="0" w:color="000000"/>
            </w:tcBorders>
          </w:tcPr>
          <w:p w:rsidR="00E36F39" w:rsidRDefault="00E36F39">
            <w:pPr>
              <w:widowControl w:val="0"/>
              <w:numPr>
                <w:ilvl w:val="0"/>
                <w:numId w:val="1"/>
              </w:numPr>
              <w:spacing w:after="60"/>
              <w:jc w:val="center"/>
              <w:rPr>
                <w:sz w:val="26"/>
                <w:szCs w:val="26"/>
              </w:rPr>
            </w:pPr>
          </w:p>
        </w:tc>
        <w:tc>
          <w:tcPr>
            <w:tcW w:w="1634" w:type="pct"/>
            <w:tcBorders>
              <w:top w:val="single" w:sz="4" w:space="0" w:color="000000"/>
              <w:left w:val="single" w:sz="4" w:space="0" w:color="000000"/>
              <w:bottom w:val="single" w:sz="4" w:space="0" w:color="000000"/>
            </w:tcBorders>
          </w:tcPr>
          <w:p w:rsidR="00E36F39" w:rsidRDefault="00196364">
            <w:pPr>
              <w:spacing w:line="228" w:lineRule="auto"/>
            </w:pPr>
            <w:r>
              <w:rPr>
                <w:sz w:val="26"/>
                <w:szCs w:val="26"/>
                <w:lang w:eastAsia="en-US"/>
              </w:rPr>
              <w:t>Границы территории проведения инженерных изысканий</w:t>
            </w:r>
          </w:p>
        </w:tc>
        <w:tc>
          <w:tcPr>
            <w:tcW w:w="3075" w:type="pct"/>
            <w:tcBorders>
              <w:top w:val="single" w:sz="4" w:space="0" w:color="000000"/>
              <w:left w:val="single" w:sz="4" w:space="0" w:color="000000"/>
              <w:bottom w:val="single" w:sz="4" w:space="0" w:color="000000"/>
              <w:right w:val="single" w:sz="4" w:space="0" w:color="000000"/>
            </w:tcBorders>
          </w:tcPr>
          <w:p w:rsidR="00E36F39" w:rsidRPr="00385A84" w:rsidRDefault="009C77F8">
            <w:pPr>
              <w:spacing w:line="228" w:lineRule="auto"/>
              <w:rPr>
                <w:color w:val="FF0000"/>
                <w:spacing w:val="-6"/>
                <w:sz w:val="26"/>
                <w:szCs w:val="26"/>
                <w:lang w:eastAsia="en-US"/>
              </w:rPr>
            </w:pPr>
            <w:r w:rsidRPr="00385A84">
              <w:rPr>
                <w:color w:val="FF0000"/>
                <w:spacing w:val="-6"/>
                <w:sz w:val="26"/>
                <w:szCs w:val="26"/>
                <w:lang w:eastAsia="en-US"/>
              </w:rPr>
              <w:t>О</w:t>
            </w:r>
            <w:r w:rsidR="007E177B" w:rsidRPr="00385A84">
              <w:rPr>
                <w:color w:val="FF0000"/>
                <w:spacing w:val="-6"/>
                <w:sz w:val="26"/>
                <w:szCs w:val="26"/>
                <w:lang w:eastAsia="en-US"/>
              </w:rPr>
              <w:t xml:space="preserve">риентировочная площадь </w:t>
            </w:r>
            <w:r w:rsidR="009813B3" w:rsidRPr="00385A84">
              <w:rPr>
                <w:color w:val="FF0000"/>
                <w:spacing w:val="-6"/>
                <w:sz w:val="26"/>
                <w:szCs w:val="26"/>
                <w:lang w:eastAsia="en-US"/>
              </w:rPr>
              <w:t>территории проведения инженерных изысканий -</w:t>
            </w:r>
            <w:r w:rsidR="007E177B" w:rsidRPr="00385A84">
              <w:rPr>
                <w:color w:val="FF0000"/>
                <w:spacing w:val="-6"/>
                <w:sz w:val="26"/>
                <w:szCs w:val="26"/>
                <w:lang w:eastAsia="en-US"/>
              </w:rPr>
              <w:t xml:space="preserve"> </w:t>
            </w:r>
            <w:r w:rsidR="003A1482">
              <w:rPr>
                <w:color w:val="FF0000"/>
                <w:spacing w:val="-6"/>
                <w:sz w:val="26"/>
                <w:szCs w:val="26"/>
                <w:lang w:eastAsia="en-US"/>
              </w:rPr>
              <w:t>……</w:t>
            </w:r>
            <w:r w:rsidR="007E177B" w:rsidRPr="00385A84">
              <w:rPr>
                <w:color w:val="FF0000"/>
                <w:spacing w:val="-6"/>
                <w:sz w:val="26"/>
                <w:szCs w:val="26"/>
                <w:lang w:eastAsia="en-US"/>
              </w:rPr>
              <w:t xml:space="preserve"> га</w:t>
            </w:r>
            <w:r w:rsidR="009813B3" w:rsidRPr="00385A84">
              <w:rPr>
                <w:color w:val="FF0000"/>
                <w:spacing w:val="-6"/>
                <w:sz w:val="26"/>
                <w:szCs w:val="26"/>
                <w:lang w:eastAsia="en-US"/>
              </w:rPr>
              <w:t>.,</w:t>
            </w:r>
            <w:r w:rsidR="007E177B" w:rsidRPr="00385A84">
              <w:rPr>
                <w:color w:val="FF0000"/>
                <w:spacing w:val="-6"/>
                <w:sz w:val="26"/>
                <w:szCs w:val="26"/>
                <w:lang w:eastAsia="en-US"/>
              </w:rPr>
              <w:t xml:space="preserve"> </w:t>
            </w:r>
            <w:r w:rsidR="009813B3" w:rsidRPr="00385A84">
              <w:rPr>
                <w:color w:val="FF0000"/>
                <w:spacing w:val="-6"/>
                <w:sz w:val="26"/>
                <w:szCs w:val="26"/>
                <w:lang w:eastAsia="en-US"/>
              </w:rPr>
              <w:t xml:space="preserve">г Магнитогорск </w:t>
            </w:r>
            <w:r w:rsidR="007E177B" w:rsidRPr="00385A84">
              <w:rPr>
                <w:color w:val="FF0000"/>
                <w:spacing w:val="-6"/>
                <w:sz w:val="26"/>
                <w:szCs w:val="26"/>
                <w:lang w:eastAsia="en-US"/>
              </w:rPr>
              <w:t xml:space="preserve">в районе </w:t>
            </w:r>
            <w:r w:rsidR="003A1482">
              <w:rPr>
                <w:color w:val="FF0000"/>
                <w:spacing w:val="-6"/>
                <w:sz w:val="26"/>
                <w:szCs w:val="26"/>
                <w:lang w:eastAsia="en-US"/>
              </w:rPr>
              <w:t>………………..</w:t>
            </w:r>
            <w:r w:rsidR="009813B3" w:rsidRPr="00385A84">
              <w:rPr>
                <w:color w:val="FF0000"/>
                <w:spacing w:val="-6"/>
                <w:sz w:val="26"/>
                <w:szCs w:val="26"/>
                <w:lang w:eastAsia="en-US"/>
              </w:rPr>
              <w:t>.</w:t>
            </w:r>
          </w:p>
          <w:p w:rsidR="007E177B" w:rsidRPr="00385A84" w:rsidRDefault="007E177B" w:rsidP="007E177B">
            <w:pPr>
              <w:spacing w:line="228" w:lineRule="auto"/>
              <w:rPr>
                <w:color w:val="FF0000"/>
                <w:sz w:val="26"/>
                <w:szCs w:val="26"/>
                <w:lang w:eastAsia="en-US"/>
              </w:rPr>
            </w:pPr>
            <w:r w:rsidRPr="00385A84">
              <w:rPr>
                <w:color w:val="FF0000"/>
                <w:spacing w:val="-6"/>
                <w:sz w:val="26"/>
                <w:szCs w:val="26"/>
                <w:lang w:eastAsia="en-US"/>
              </w:rPr>
              <w:t xml:space="preserve">Земельные участки, которые входят в территорию </w:t>
            </w:r>
            <w:r w:rsidRPr="00385A84">
              <w:rPr>
                <w:color w:val="FF0000"/>
                <w:sz w:val="26"/>
                <w:szCs w:val="26"/>
                <w:lang w:eastAsia="en-US"/>
              </w:rPr>
              <w:t>проведения инженерных изысканий:</w:t>
            </w:r>
          </w:p>
          <w:p w:rsidR="00385A84" w:rsidRPr="00385A84" w:rsidRDefault="00385A84" w:rsidP="00385A84">
            <w:pPr>
              <w:spacing w:line="228" w:lineRule="auto"/>
              <w:rPr>
                <w:color w:val="00B050"/>
              </w:rPr>
            </w:pPr>
            <w:r w:rsidRPr="00385A84">
              <w:rPr>
                <w:color w:val="00B050"/>
              </w:rPr>
              <w:t>Земельные участки можно и не прописывать, только ориентировочные границы (улицы) и ориентировочную площадь территории</w:t>
            </w:r>
          </w:p>
        </w:tc>
      </w:tr>
      <w:tr w:rsidR="00E36F39" w:rsidTr="007D163A">
        <w:tc>
          <w:tcPr>
            <w:tcW w:w="291" w:type="pct"/>
            <w:tcBorders>
              <w:top w:val="single" w:sz="4" w:space="0" w:color="000000"/>
              <w:left w:val="single" w:sz="4" w:space="0" w:color="000000"/>
              <w:bottom w:val="single" w:sz="4" w:space="0" w:color="000000"/>
            </w:tcBorders>
          </w:tcPr>
          <w:p w:rsidR="00E36F39" w:rsidRDefault="00E36F39">
            <w:pPr>
              <w:widowControl w:val="0"/>
              <w:numPr>
                <w:ilvl w:val="0"/>
                <w:numId w:val="1"/>
              </w:numPr>
              <w:spacing w:after="60"/>
              <w:jc w:val="center"/>
              <w:rPr>
                <w:sz w:val="26"/>
                <w:szCs w:val="26"/>
                <w:highlight w:val="yellow"/>
              </w:rPr>
            </w:pPr>
          </w:p>
        </w:tc>
        <w:tc>
          <w:tcPr>
            <w:tcW w:w="1634" w:type="pct"/>
            <w:tcBorders>
              <w:top w:val="single" w:sz="4" w:space="0" w:color="000000"/>
              <w:left w:val="single" w:sz="4" w:space="0" w:color="000000"/>
              <w:bottom w:val="single" w:sz="4" w:space="0" w:color="000000"/>
            </w:tcBorders>
          </w:tcPr>
          <w:p w:rsidR="00E36F39" w:rsidRDefault="00196364">
            <w:pPr>
              <w:spacing w:line="228" w:lineRule="auto"/>
            </w:pPr>
            <w:r>
              <w:rPr>
                <w:sz w:val="26"/>
                <w:szCs w:val="26"/>
                <w:lang w:eastAsia="en-US"/>
              </w:rPr>
              <w:t>Виды инженерных изысканий</w:t>
            </w:r>
            <w:r w:rsidR="00F62842">
              <w:rPr>
                <w:sz w:val="26"/>
                <w:szCs w:val="26"/>
                <w:lang w:eastAsia="en-US"/>
              </w:rPr>
              <w:t>*</w:t>
            </w:r>
          </w:p>
        </w:tc>
        <w:tc>
          <w:tcPr>
            <w:tcW w:w="3075" w:type="pct"/>
            <w:tcBorders>
              <w:top w:val="single" w:sz="4" w:space="0" w:color="000000"/>
              <w:left w:val="single" w:sz="4" w:space="0" w:color="000000"/>
              <w:bottom w:val="single" w:sz="4" w:space="0" w:color="000000"/>
              <w:right w:val="single" w:sz="4" w:space="0" w:color="000000"/>
            </w:tcBorders>
            <w:vAlign w:val="center"/>
          </w:tcPr>
          <w:p w:rsidR="00E36F39" w:rsidRDefault="00196364">
            <w:pPr>
              <w:spacing w:line="228" w:lineRule="auto"/>
            </w:pPr>
            <w:r>
              <w:rPr>
                <w:rStyle w:val="15"/>
                <w:rFonts w:eastAsia="Times New Roman"/>
                <w:color w:val="000000"/>
                <w:spacing w:val="-4"/>
                <w:sz w:val="26"/>
                <w:szCs w:val="26"/>
                <w:lang w:eastAsia="en-US"/>
              </w:rPr>
              <w:t>инженерно-геодезические изыскания;</w:t>
            </w:r>
          </w:p>
          <w:p w:rsidR="00E36F39" w:rsidRDefault="00196364">
            <w:pPr>
              <w:spacing w:line="228" w:lineRule="auto"/>
            </w:pPr>
            <w:r>
              <w:rPr>
                <w:rStyle w:val="15"/>
                <w:rFonts w:eastAsia="Times New Roman"/>
                <w:color w:val="000000"/>
                <w:spacing w:val="-4"/>
                <w:sz w:val="26"/>
                <w:szCs w:val="26"/>
                <w:lang w:eastAsia="en-US"/>
              </w:rPr>
              <w:t>инженерно-геологические изыскания;</w:t>
            </w:r>
          </w:p>
          <w:p w:rsidR="00E36F39" w:rsidRDefault="00196364">
            <w:pPr>
              <w:spacing w:line="228" w:lineRule="auto"/>
              <w:rPr>
                <w:rStyle w:val="15"/>
                <w:rFonts w:eastAsia="Times New Roman"/>
                <w:color w:val="000000"/>
                <w:spacing w:val="-4"/>
                <w:sz w:val="26"/>
                <w:szCs w:val="26"/>
                <w:lang w:eastAsia="en-US"/>
              </w:rPr>
            </w:pPr>
            <w:r>
              <w:rPr>
                <w:rStyle w:val="15"/>
                <w:rFonts w:eastAsia="Times New Roman"/>
                <w:color w:val="000000"/>
                <w:spacing w:val="-4"/>
                <w:sz w:val="26"/>
                <w:szCs w:val="26"/>
                <w:lang w:eastAsia="en-US"/>
              </w:rPr>
              <w:t>инженерно-гидрометеорологические изыскания</w:t>
            </w:r>
            <w:r w:rsidR="00F62842">
              <w:rPr>
                <w:rStyle w:val="15"/>
                <w:rFonts w:eastAsia="Times New Roman"/>
                <w:color w:val="000000"/>
                <w:spacing w:val="-4"/>
                <w:sz w:val="26"/>
                <w:szCs w:val="26"/>
                <w:lang w:eastAsia="en-US"/>
              </w:rPr>
              <w:t>.</w:t>
            </w:r>
          </w:p>
          <w:p w:rsidR="00F62842" w:rsidRPr="00F62842" w:rsidRDefault="00F62842" w:rsidP="00F62842">
            <w:pPr>
              <w:spacing w:line="228" w:lineRule="auto"/>
              <w:rPr>
                <w:sz w:val="26"/>
                <w:szCs w:val="26"/>
              </w:rPr>
            </w:pPr>
            <w:r w:rsidRPr="00F62842">
              <w:rPr>
                <w:sz w:val="26"/>
                <w:szCs w:val="26"/>
              </w:rPr>
              <w:t>*Состав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в соответствии с действующим законодательством.</w:t>
            </w:r>
          </w:p>
          <w:p w:rsidR="00F62842" w:rsidRDefault="00F62842" w:rsidP="00F62842">
            <w:pPr>
              <w:spacing w:line="228" w:lineRule="auto"/>
            </w:pPr>
            <w:r w:rsidRPr="00F62842">
              <w:rPr>
                <w:sz w:val="26"/>
                <w:szCs w:val="26"/>
              </w:rPr>
              <w:t>Программа инженерных изысканий разрабатывается исполнителем инженерных изысканий на основе настоящего задания и утверждается заказчиком</w:t>
            </w:r>
          </w:p>
        </w:tc>
      </w:tr>
      <w:tr w:rsidR="00E36F39" w:rsidTr="007D163A">
        <w:tc>
          <w:tcPr>
            <w:tcW w:w="291" w:type="pct"/>
            <w:tcBorders>
              <w:top w:val="single" w:sz="4" w:space="0" w:color="000000"/>
              <w:left w:val="single" w:sz="4" w:space="0" w:color="000000"/>
              <w:bottom w:val="single" w:sz="4" w:space="0" w:color="000000"/>
            </w:tcBorders>
          </w:tcPr>
          <w:p w:rsidR="00E36F39" w:rsidRDefault="00E36F39">
            <w:pPr>
              <w:widowControl w:val="0"/>
              <w:numPr>
                <w:ilvl w:val="0"/>
                <w:numId w:val="1"/>
              </w:numPr>
              <w:spacing w:after="60"/>
              <w:jc w:val="center"/>
              <w:rPr>
                <w:sz w:val="26"/>
                <w:szCs w:val="26"/>
              </w:rPr>
            </w:pPr>
          </w:p>
        </w:tc>
        <w:tc>
          <w:tcPr>
            <w:tcW w:w="1634" w:type="pct"/>
            <w:tcBorders>
              <w:top w:val="single" w:sz="4" w:space="0" w:color="000000"/>
              <w:left w:val="single" w:sz="4" w:space="0" w:color="000000"/>
              <w:bottom w:val="single" w:sz="4" w:space="0" w:color="000000"/>
            </w:tcBorders>
          </w:tcPr>
          <w:p w:rsidR="00E36F39" w:rsidRDefault="00196364">
            <w:pPr>
              <w:spacing w:line="228" w:lineRule="auto"/>
            </w:pPr>
            <w:r>
              <w:rPr>
                <w:sz w:val="26"/>
                <w:szCs w:val="26"/>
                <w:lang w:eastAsia="en-US"/>
              </w:rPr>
              <w:t>Описание планируемого к размещению объекта капитального строительства</w:t>
            </w:r>
          </w:p>
        </w:tc>
        <w:tc>
          <w:tcPr>
            <w:tcW w:w="3075" w:type="pct"/>
            <w:tcBorders>
              <w:top w:val="single" w:sz="4" w:space="0" w:color="000000"/>
              <w:left w:val="single" w:sz="4" w:space="0" w:color="000000"/>
              <w:bottom w:val="single" w:sz="4" w:space="0" w:color="000000"/>
              <w:right w:val="single" w:sz="4" w:space="0" w:color="000000"/>
            </w:tcBorders>
            <w:vAlign w:val="center"/>
          </w:tcPr>
          <w:p w:rsidR="00E36F39" w:rsidRPr="00385A84" w:rsidRDefault="003A1482" w:rsidP="008847FE">
            <w:pPr>
              <w:spacing w:line="228" w:lineRule="auto"/>
              <w:rPr>
                <w:color w:val="FF0000"/>
              </w:rPr>
            </w:pPr>
            <w:r>
              <w:rPr>
                <w:rStyle w:val="15"/>
                <w:rFonts w:eastAsia="Times New Roman"/>
                <w:color w:val="FF0000"/>
                <w:spacing w:val="-4"/>
                <w:sz w:val="26"/>
                <w:szCs w:val="26"/>
                <w:lang w:eastAsia="en-US"/>
              </w:rPr>
              <w:t>Наименование объекта, вид разрешенного использования, основные характеристики объекта (площадь застройки (ориентировочная), этажность)</w:t>
            </w:r>
            <w:r w:rsidR="008847FE" w:rsidRPr="00385A84">
              <w:rPr>
                <w:rStyle w:val="15"/>
                <w:rFonts w:eastAsia="Times New Roman"/>
                <w:color w:val="FF0000"/>
                <w:spacing w:val="-4"/>
                <w:sz w:val="26"/>
                <w:szCs w:val="26"/>
                <w:lang w:eastAsia="en-US"/>
              </w:rPr>
              <w:t>.</w:t>
            </w:r>
          </w:p>
        </w:tc>
      </w:tr>
    </w:tbl>
    <w:p w:rsidR="00E36F39" w:rsidRDefault="00E36F39">
      <w:pPr>
        <w:spacing w:line="228" w:lineRule="auto"/>
        <w:rPr>
          <w:rFonts w:eastAsia="Times New Roman"/>
          <w:color w:val="000000"/>
          <w:spacing w:val="-4"/>
          <w:sz w:val="26"/>
          <w:szCs w:val="26"/>
          <w:lang w:eastAsia="en-US"/>
        </w:rPr>
      </w:pPr>
    </w:p>
    <w:p w:rsidR="00E36F39" w:rsidRDefault="00196364">
      <w:pPr>
        <w:spacing w:line="228" w:lineRule="auto"/>
      </w:pPr>
      <w:r>
        <w:rPr>
          <w:rFonts w:eastAsia="Times New Roman"/>
          <w:color w:val="000000"/>
          <w:spacing w:val="-4"/>
          <w:sz w:val="26"/>
          <w:szCs w:val="26"/>
          <w:lang w:eastAsia="en-US"/>
        </w:rPr>
        <w:tab/>
        <w:t>Ответственность за полноту и достоверность данных в задании на выполнение инженерных изысканий, предусмотренная законодательством Российской Федерации, возлагается на инициатора разработки документации по планировке территории.</w:t>
      </w:r>
    </w:p>
    <w:p w:rsidR="00E36F39" w:rsidRDefault="00E36F39">
      <w:pPr>
        <w:spacing w:line="228" w:lineRule="auto"/>
        <w:rPr>
          <w:sz w:val="26"/>
          <w:szCs w:val="26"/>
        </w:rPr>
      </w:pPr>
    </w:p>
    <w:p w:rsidR="00E36F39" w:rsidRDefault="00E36F39">
      <w:pPr>
        <w:spacing w:line="228" w:lineRule="auto"/>
        <w:rPr>
          <w:sz w:val="26"/>
          <w:szCs w:val="26"/>
        </w:rPr>
      </w:pPr>
    </w:p>
    <w:p w:rsidR="00E36F39" w:rsidRDefault="00E36F39">
      <w:pPr>
        <w:spacing w:line="228" w:lineRule="auto"/>
        <w:rPr>
          <w:sz w:val="28"/>
          <w:szCs w:val="28"/>
        </w:rPr>
      </w:pPr>
    </w:p>
    <w:p w:rsidR="00F62842" w:rsidRDefault="00F62842">
      <w:pPr>
        <w:spacing w:line="228" w:lineRule="auto"/>
        <w:rPr>
          <w:sz w:val="28"/>
          <w:szCs w:val="28"/>
        </w:rPr>
      </w:pPr>
    </w:p>
    <w:p w:rsidR="00E36F39" w:rsidRDefault="00196364">
      <w:pPr>
        <w:spacing w:line="228" w:lineRule="auto"/>
      </w:pPr>
      <w:r>
        <w:rPr>
          <w:rFonts w:eastAsia="Times New Roman"/>
          <w:sz w:val="26"/>
          <w:szCs w:val="26"/>
          <w:highlight w:val="white"/>
          <w:lang w:eastAsia="en-US"/>
        </w:rPr>
        <w:t xml:space="preserve">Начальник Управления </w:t>
      </w:r>
    </w:p>
    <w:p w:rsidR="00E36F39" w:rsidRDefault="00696D19">
      <w:pPr>
        <w:spacing w:line="228" w:lineRule="auto"/>
      </w:pPr>
      <w:r>
        <w:rPr>
          <w:rFonts w:eastAsia="Times New Roman"/>
          <w:sz w:val="26"/>
          <w:szCs w:val="26"/>
          <w:highlight w:val="white"/>
          <w:lang w:eastAsia="en-US"/>
        </w:rPr>
        <w:t>Архитектуры и градостроительства</w:t>
      </w:r>
    </w:p>
    <w:p w:rsidR="00E36F39" w:rsidRDefault="00696D19">
      <w:pPr>
        <w:spacing w:line="228" w:lineRule="auto"/>
        <w:rPr>
          <w:rFonts w:eastAsia="Times New Roman"/>
          <w:sz w:val="26"/>
          <w:szCs w:val="26"/>
          <w:highlight w:val="white"/>
          <w:lang w:eastAsia="en-US"/>
        </w:rPr>
      </w:pPr>
      <w:r>
        <w:rPr>
          <w:rFonts w:eastAsia="Times New Roman"/>
          <w:sz w:val="26"/>
          <w:szCs w:val="26"/>
          <w:highlight w:val="white"/>
          <w:lang w:eastAsia="en-US"/>
        </w:rPr>
        <w:t>администрации города Магнитогорска</w:t>
      </w:r>
      <w:r w:rsidR="00196364">
        <w:rPr>
          <w:rFonts w:eastAsia="Times New Roman"/>
          <w:sz w:val="26"/>
          <w:szCs w:val="26"/>
          <w:highlight w:val="white"/>
          <w:lang w:eastAsia="en-US"/>
        </w:rPr>
        <w:t xml:space="preserve">                                </w:t>
      </w:r>
      <w:r>
        <w:rPr>
          <w:rFonts w:eastAsia="Times New Roman"/>
          <w:sz w:val="26"/>
          <w:szCs w:val="26"/>
          <w:highlight w:val="white"/>
          <w:lang w:eastAsia="en-US"/>
        </w:rPr>
        <w:t xml:space="preserve">   </w:t>
      </w:r>
      <w:r w:rsidR="00196364">
        <w:rPr>
          <w:rFonts w:eastAsia="Times New Roman"/>
          <w:sz w:val="26"/>
          <w:szCs w:val="26"/>
          <w:highlight w:val="white"/>
          <w:lang w:eastAsia="en-US"/>
        </w:rPr>
        <w:t xml:space="preserve">                    </w:t>
      </w:r>
      <w:r>
        <w:rPr>
          <w:rFonts w:eastAsia="Times New Roman"/>
          <w:sz w:val="26"/>
          <w:szCs w:val="26"/>
          <w:highlight w:val="white"/>
          <w:lang w:eastAsia="en-US"/>
        </w:rPr>
        <w:t>К.С. Хуртин</w:t>
      </w:r>
    </w:p>
    <w:sectPr w:rsidR="00E36F39">
      <w:headerReference w:type="default" r:id="rId7"/>
      <w:pgSz w:w="11906" w:h="16838"/>
      <w:pgMar w:top="1094" w:right="567" w:bottom="964" w:left="1701" w:header="680" w:footer="709" w:gutter="0"/>
      <w:pgNumType w:start="1"/>
      <w:cols w:space="17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E0D" w:rsidRDefault="00840E0D">
      <w:pPr>
        <w:spacing w:line="240" w:lineRule="auto"/>
      </w:pPr>
      <w:r>
        <w:separator/>
      </w:r>
    </w:p>
  </w:endnote>
  <w:endnote w:type="continuationSeparator" w:id="0">
    <w:p w:rsidR="00840E0D" w:rsidRDefault="00840E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E0D" w:rsidRDefault="00840E0D">
      <w:pPr>
        <w:spacing w:line="240" w:lineRule="auto"/>
      </w:pPr>
      <w:r>
        <w:separator/>
      </w:r>
    </w:p>
  </w:footnote>
  <w:footnote w:type="continuationSeparator" w:id="0">
    <w:p w:rsidR="00840E0D" w:rsidRDefault="00840E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F39" w:rsidRDefault="00196364">
    <w:pPr>
      <w:pStyle w:val="ac"/>
      <w:jc w:val="center"/>
      <w:rPr>
        <w:sz w:val="26"/>
        <w:szCs w:val="26"/>
      </w:rPr>
    </w:pPr>
    <w:r>
      <w:rPr>
        <w:sz w:val="26"/>
        <w:szCs w:val="26"/>
      </w:rPr>
      <w:fldChar w:fldCharType="begin"/>
    </w:r>
    <w:r>
      <w:rPr>
        <w:sz w:val="26"/>
        <w:szCs w:val="26"/>
      </w:rPr>
      <w:instrText xml:space="preserve"> PAGE </w:instrText>
    </w:r>
    <w:r>
      <w:rPr>
        <w:sz w:val="26"/>
        <w:szCs w:val="26"/>
      </w:rPr>
      <w:fldChar w:fldCharType="separate"/>
    </w:r>
    <w:r w:rsidR="00A8788A">
      <w:rPr>
        <w:noProof/>
        <w:sz w:val="26"/>
        <w:szCs w:val="26"/>
      </w:rPr>
      <w:t>2</w:t>
    </w:r>
    <w:r>
      <w:rPr>
        <w:sz w:val="26"/>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AC7111"/>
    <w:multiLevelType w:val="hybridMultilevel"/>
    <w:tmpl w:val="BE94A7E4"/>
    <w:lvl w:ilvl="0" w:tplc="86529BCC">
      <w:start w:val="1"/>
      <w:numFmt w:val="decimal"/>
      <w:suff w:val="nothing"/>
      <w:lvlText w:val=""/>
      <w:lvlJc w:val="left"/>
      <w:pPr>
        <w:tabs>
          <w:tab w:val="num" w:pos="0"/>
        </w:tabs>
        <w:ind w:left="0" w:firstLine="0"/>
      </w:pPr>
    </w:lvl>
    <w:lvl w:ilvl="1" w:tplc="8FDE9B82">
      <w:start w:val="1"/>
      <w:numFmt w:val="decimal"/>
      <w:suff w:val="nothing"/>
      <w:lvlText w:val=""/>
      <w:lvlJc w:val="left"/>
      <w:pPr>
        <w:tabs>
          <w:tab w:val="num" w:pos="0"/>
        </w:tabs>
        <w:ind w:left="0" w:firstLine="0"/>
      </w:pPr>
    </w:lvl>
    <w:lvl w:ilvl="2" w:tplc="483209A6">
      <w:start w:val="1"/>
      <w:numFmt w:val="decimal"/>
      <w:suff w:val="nothing"/>
      <w:lvlText w:val=""/>
      <w:lvlJc w:val="left"/>
      <w:pPr>
        <w:tabs>
          <w:tab w:val="num" w:pos="0"/>
        </w:tabs>
        <w:ind w:left="0" w:firstLine="0"/>
      </w:pPr>
    </w:lvl>
    <w:lvl w:ilvl="3" w:tplc="8486825E">
      <w:start w:val="1"/>
      <w:numFmt w:val="decimal"/>
      <w:suff w:val="nothing"/>
      <w:lvlText w:val=""/>
      <w:lvlJc w:val="left"/>
      <w:pPr>
        <w:tabs>
          <w:tab w:val="num" w:pos="0"/>
        </w:tabs>
        <w:ind w:left="0" w:firstLine="0"/>
      </w:pPr>
    </w:lvl>
    <w:lvl w:ilvl="4" w:tplc="EA4A9DC2">
      <w:start w:val="1"/>
      <w:numFmt w:val="decimal"/>
      <w:suff w:val="nothing"/>
      <w:lvlText w:val=""/>
      <w:lvlJc w:val="left"/>
      <w:pPr>
        <w:tabs>
          <w:tab w:val="num" w:pos="0"/>
        </w:tabs>
        <w:ind w:left="0" w:firstLine="0"/>
      </w:pPr>
    </w:lvl>
    <w:lvl w:ilvl="5" w:tplc="B8D08C84">
      <w:start w:val="1"/>
      <w:numFmt w:val="decimal"/>
      <w:suff w:val="nothing"/>
      <w:lvlText w:val=""/>
      <w:lvlJc w:val="left"/>
      <w:pPr>
        <w:tabs>
          <w:tab w:val="num" w:pos="0"/>
        </w:tabs>
        <w:ind w:left="0" w:firstLine="0"/>
      </w:pPr>
    </w:lvl>
    <w:lvl w:ilvl="6" w:tplc="22B2839A">
      <w:start w:val="1"/>
      <w:numFmt w:val="decimal"/>
      <w:suff w:val="nothing"/>
      <w:lvlText w:val=""/>
      <w:lvlJc w:val="left"/>
      <w:pPr>
        <w:tabs>
          <w:tab w:val="num" w:pos="0"/>
        </w:tabs>
        <w:ind w:left="0" w:firstLine="0"/>
      </w:pPr>
    </w:lvl>
    <w:lvl w:ilvl="7" w:tplc="2B1298C0">
      <w:start w:val="1"/>
      <w:numFmt w:val="decimal"/>
      <w:suff w:val="nothing"/>
      <w:lvlText w:val=""/>
      <w:lvlJc w:val="left"/>
      <w:pPr>
        <w:tabs>
          <w:tab w:val="num" w:pos="0"/>
        </w:tabs>
        <w:ind w:left="0" w:firstLine="0"/>
      </w:pPr>
    </w:lvl>
    <w:lvl w:ilvl="8" w:tplc="A0F674F4">
      <w:start w:val="1"/>
      <w:numFmt w:val="decimal"/>
      <w:suff w:val="nothing"/>
      <w:lvlText w:val=""/>
      <w:lvlJc w:val="left"/>
      <w:pPr>
        <w:tabs>
          <w:tab w:val="num" w:pos="0"/>
        </w:tabs>
        <w:ind w:left="0" w:firstLine="0"/>
      </w:pPr>
    </w:lvl>
  </w:abstractNum>
  <w:abstractNum w:abstractNumId="1" w15:restartNumberingAfterBreak="0">
    <w:nsid w:val="75E22A86"/>
    <w:multiLevelType w:val="multilevel"/>
    <w:tmpl w:val="E196C7B6"/>
    <w:lvl w:ilvl="0">
      <w:start w:val="1"/>
      <w:numFmt w:val="decimal"/>
      <w:lvlText w:val="%1."/>
      <w:lvlJc w:val="left"/>
      <w:pPr>
        <w:tabs>
          <w:tab w:val="num" w:pos="360"/>
        </w:tabs>
        <w:ind w:left="360" w:hanging="360"/>
      </w:pPr>
    </w:lvl>
    <w:lvl w:ilvl="1">
      <w:start w:val="1"/>
      <w:numFmt w:val="decimal"/>
      <w:lvlText w:val="%1.%2."/>
      <w:lvlJc w:val="left"/>
      <w:pPr>
        <w:tabs>
          <w:tab w:val="num" w:pos="0"/>
        </w:tabs>
        <w:ind w:left="722" w:hanging="405"/>
      </w:pPr>
    </w:lvl>
    <w:lvl w:ilvl="2">
      <w:start w:val="1"/>
      <w:numFmt w:val="decimal"/>
      <w:lvlText w:val="%1.%2.%3."/>
      <w:lvlJc w:val="left"/>
      <w:pPr>
        <w:tabs>
          <w:tab w:val="num" w:pos="0"/>
        </w:tabs>
        <w:ind w:left="1354" w:hanging="720"/>
      </w:pPr>
    </w:lvl>
    <w:lvl w:ilvl="3">
      <w:start w:val="1"/>
      <w:numFmt w:val="decimal"/>
      <w:lvlText w:val="%1.%2.%3.%4."/>
      <w:lvlJc w:val="left"/>
      <w:pPr>
        <w:tabs>
          <w:tab w:val="num" w:pos="0"/>
        </w:tabs>
        <w:ind w:left="1671" w:hanging="720"/>
      </w:pPr>
    </w:lvl>
    <w:lvl w:ilvl="4">
      <w:start w:val="1"/>
      <w:numFmt w:val="decimal"/>
      <w:lvlText w:val="%1.%2.%3.%4.%5."/>
      <w:lvlJc w:val="left"/>
      <w:pPr>
        <w:tabs>
          <w:tab w:val="num" w:pos="0"/>
        </w:tabs>
        <w:ind w:left="2348" w:hanging="1080"/>
      </w:pPr>
    </w:lvl>
    <w:lvl w:ilvl="5">
      <w:start w:val="1"/>
      <w:numFmt w:val="decimal"/>
      <w:lvlText w:val="%1.%2.%3.%4.%5.%6."/>
      <w:lvlJc w:val="left"/>
      <w:pPr>
        <w:tabs>
          <w:tab w:val="num" w:pos="0"/>
        </w:tabs>
        <w:ind w:left="2665" w:hanging="1080"/>
      </w:pPr>
    </w:lvl>
    <w:lvl w:ilvl="6">
      <w:start w:val="1"/>
      <w:numFmt w:val="decimal"/>
      <w:lvlText w:val="%1.%2.%3.%4.%5.%6.%7."/>
      <w:lvlJc w:val="left"/>
      <w:pPr>
        <w:tabs>
          <w:tab w:val="num" w:pos="0"/>
        </w:tabs>
        <w:ind w:left="2982" w:hanging="1080"/>
      </w:pPr>
    </w:lvl>
    <w:lvl w:ilvl="7">
      <w:start w:val="1"/>
      <w:numFmt w:val="decimal"/>
      <w:lvlText w:val="%1.%2.%3.%4.%5.%6.%7.%8."/>
      <w:lvlJc w:val="left"/>
      <w:pPr>
        <w:tabs>
          <w:tab w:val="num" w:pos="0"/>
        </w:tabs>
        <w:ind w:left="3659" w:hanging="1440"/>
      </w:pPr>
    </w:lvl>
    <w:lvl w:ilvl="8">
      <w:start w:val="1"/>
      <w:numFmt w:val="decimal"/>
      <w:lvlText w:val="%1.%2.%3.%4.%5.%6.%7.%8.%9."/>
      <w:lvlJc w:val="left"/>
      <w:pPr>
        <w:tabs>
          <w:tab w:val="num" w:pos="0"/>
        </w:tabs>
        <w:ind w:left="3976"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6F39"/>
    <w:rsid w:val="000600DF"/>
    <w:rsid w:val="000F1B50"/>
    <w:rsid w:val="00196364"/>
    <w:rsid w:val="002452B4"/>
    <w:rsid w:val="00385A84"/>
    <w:rsid w:val="003A1482"/>
    <w:rsid w:val="0042523E"/>
    <w:rsid w:val="00502347"/>
    <w:rsid w:val="00570097"/>
    <w:rsid w:val="005C102C"/>
    <w:rsid w:val="0063779B"/>
    <w:rsid w:val="00696D19"/>
    <w:rsid w:val="007D163A"/>
    <w:rsid w:val="007E177B"/>
    <w:rsid w:val="00840E0D"/>
    <w:rsid w:val="00856EE3"/>
    <w:rsid w:val="0086401A"/>
    <w:rsid w:val="008847FE"/>
    <w:rsid w:val="009813B3"/>
    <w:rsid w:val="009B27CC"/>
    <w:rsid w:val="009B73E1"/>
    <w:rsid w:val="009C77F8"/>
    <w:rsid w:val="00A8788A"/>
    <w:rsid w:val="00AB1086"/>
    <w:rsid w:val="00B72C68"/>
    <w:rsid w:val="00E36F39"/>
    <w:rsid w:val="00EC1405"/>
    <w:rsid w:val="00F10304"/>
    <w:rsid w:val="00F62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017D3"/>
  <w15:docId w15:val="{12B26C25-86E7-4D4D-9881-9FDE07173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line="276" w:lineRule="auto"/>
      <w:jc w:val="both"/>
    </w:pPr>
    <w:rPr>
      <w:rFonts w:eastAsia="Calibri"/>
      <w:sz w:val="24"/>
      <w:szCs w:val="24"/>
      <w:lang w:eastAsia="zh-CN"/>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pPr>
      <w:ind w:left="720"/>
      <w:contextualSpacing/>
    </w:pPr>
  </w:style>
  <w:style w:type="paragraph" w:styleId="a4">
    <w:name w:val="No Spacing"/>
    <w:uiPriority w:val="1"/>
    <w:qFormat/>
  </w:style>
  <w:style w:type="paragraph" w:styleId="a5">
    <w:name w:val="Title"/>
    <w:basedOn w:val="a"/>
    <w:next w:val="a6"/>
    <w:link w:val="a7"/>
    <w:pPr>
      <w:keepNext/>
      <w:spacing w:before="240" w:after="120"/>
    </w:pPr>
    <w:rPr>
      <w:rFonts w:ascii="Liberation Sans" w:eastAsia="Microsoft YaHei" w:hAnsi="Liberation Sans" w:cs="Arial"/>
      <w:sz w:val="28"/>
      <w:szCs w:val="28"/>
    </w:rPr>
  </w:style>
  <w:style w:type="character" w:customStyle="1" w:styleId="a7">
    <w:name w:val="Заголовок Знак"/>
    <w:link w:val="a5"/>
    <w:uiPriority w:val="10"/>
    <w:rPr>
      <w:sz w:val="48"/>
      <w:szCs w:val="48"/>
    </w:rPr>
  </w:style>
  <w:style w:type="paragraph" w:styleId="a8">
    <w:name w:val="Subtitle"/>
    <w:basedOn w:val="a"/>
    <w:next w:val="a"/>
    <w:link w:val="a9"/>
    <w:pPr>
      <w:spacing w:line="240" w:lineRule="auto"/>
      <w:jc w:val="center"/>
    </w:pPr>
    <w:rPr>
      <w:rFonts w:eastAsia="Times New Roman"/>
      <w:b/>
      <w:szCs w:val="20"/>
      <w:lang w:val="en-US"/>
    </w:rPr>
  </w:style>
  <w:style w:type="character" w:customStyle="1" w:styleId="a9">
    <w:name w:val="Подзаголовок Знак"/>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a">
    <w:name w:val="Intense Quote"/>
    <w:basedOn w:val="a"/>
    <w:next w:val="a"/>
    <w:link w:val="a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a"/>
    <w:uiPriority w:val="30"/>
    <w:rPr>
      <w:i/>
    </w:rPr>
  </w:style>
  <w:style w:type="paragraph" w:styleId="ac">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1 Знак Знак Знак1 Знак,ВерхКолонтитул,header-first,h"/>
    <w:basedOn w:val="a"/>
    <w:link w:val="11"/>
    <w:uiPriority w:val="99"/>
    <w:pPr>
      <w:spacing w:line="240" w:lineRule="auto"/>
    </w:pPr>
  </w:style>
  <w:style w:type="character" w:customStyle="1" w:styleId="11">
    <w:name w:val="Верхний колонтитул Знак1"/>
    <w:aliases w:val="Верхний колонтитул Знак1 Знак Знак1,Верхний колонтитул Знак Знак Знак Знак1,Верхний колонтитул Знак1 Знак Знак Знак Знак1,Верхний колонтитул Знак Знак Знак Знак Знак Знак1,Знак1 Знак Знак Знак1 Знак Знак,ВерхКолонтитул Знак1"/>
    <w:link w:val="ac"/>
    <w:uiPriority w:val="99"/>
  </w:style>
  <w:style w:type="paragraph" w:styleId="ad">
    <w:name w:val="footer"/>
    <w:basedOn w:val="a"/>
    <w:link w:val="ae"/>
    <w:pPr>
      <w:spacing w:line="240" w:lineRule="auto"/>
    </w:pPr>
  </w:style>
  <w:style w:type="character" w:customStyle="1" w:styleId="FooterChar">
    <w:name w:val="Footer Char"/>
    <w:uiPriority w:val="99"/>
  </w:style>
  <w:style w:type="paragraph" w:styleId="af">
    <w:name w:val="caption"/>
    <w:basedOn w:val="a"/>
    <w:pPr>
      <w:suppressLineNumbers/>
      <w:spacing w:before="120" w:after="120"/>
    </w:pPr>
    <w:rPr>
      <w:rFonts w:cs="Arial"/>
      <w:i/>
      <w:iCs/>
    </w:rPr>
  </w:style>
  <w:style w:type="character" w:customStyle="1" w:styleId="ae">
    <w:name w:val="Нижний колонтитул Знак"/>
    <w:link w:val="ad"/>
    <w:uiPriority w:val="99"/>
  </w:style>
  <w:style w:type="table" w:styleId="af0">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styleId="12">
    <w:name w:val="Plain Table 1"/>
    <w:basedOn w:val="a1"/>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23">
    <w:name w:val="Plain Table 2"/>
    <w:basedOn w:val="a1"/>
    <w:uiPriority w:val="59"/>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1">
    <w:name w:val="Grid Table 1 Light"/>
    <w:basedOn w:val="a1"/>
    <w:uiPriority w:val="99"/>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styleId="-2">
    <w:name w:val="Grid Table 2"/>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1"/>
    <w:uiPriority w:val="99"/>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1"/>
    <w:uiPriority w:val="99"/>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1"/>
    <w:uiPriority w:val="99"/>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1"/>
    <w:uiPriority w:val="99"/>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1"/>
    <w:uiPriority w:val="99"/>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styleId="-3">
    <w:name w:val="Grid Table 3"/>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1"/>
    <w:uiPriority w:val="99"/>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1"/>
    <w:uiPriority w:val="99"/>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1"/>
    <w:uiPriority w:val="99"/>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1"/>
    <w:uiPriority w:val="99"/>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1"/>
    <w:uiPriority w:val="99"/>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styleId="-4">
    <w:name w:val="Grid Table 4"/>
    <w:basedOn w:val="a1"/>
    <w:uiPriority w:val="59"/>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1"/>
    <w:uiPriority w:val="59"/>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1"/>
    <w:uiPriority w:val="59"/>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1"/>
    <w:uiPriority w:val="59"/>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1"/>
    <w:uiPriority w:val="59"/>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1"/>
    <w:uiPriority w:val="59"/>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styleId="-5">
    <w:name w:val="Grid Table 5 Dark"/>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styleId="-6">
    <w:name w:val="Grid Table 6 Colorful"/>
    <w:basedOn w:val="a1"/>
    <w:uiPriority w:val="99"/>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styleId="-7">
    <w:name w:val="Grid Table 7 Colorful"/>
    <w:basedOn w:val="a1"/>
    <w:uiPriority w:val="99"/>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styleId="-20">
    <w:name w:val="List Table 2"/>
    <w:basedOn w:val="a1"/>
    <w:uiPriority w:val="99"/>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1"/>
    <w:uiPriority w:val="99"/>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1"/>
    <w:uiPriority w:val="99"/>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1"/>
    <w:uiPriority w:val="99"/>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1"/>
    <w:uiPriority w:val="99"/>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1"/>
    <w:uiPriority w:val="99"/>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styleId="-30">
    <w:name w:val="List Table 3"/>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styleId="-40">
    <w:name w:val="List Table 4"/>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1"/>
    <w:uiPriority w:val="99"/>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1"/>
    <w:uiPriority w:val="99"/>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1"/>
    <w:uiPriority w:val="99"/>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1"/>
    <w:uiPriority w:val="99"/>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1"/>
    <w:uiPriority w:val="99"/>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styleId="-50">
    <w:name w:val="List Table 5 Dark"/>
    <w:basedOn w:val="a1"/>
    <w:uiPriority w:val="99"/>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1"/>
    <w:uiPriority w:val="99"/>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1"/>
    <w:uiPriority w:val="99"/>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1"/>
    <w:uiPriority w:val="99"/>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1"/>
    <w:uiPriority w:val="99"/>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1"/>
    <w:uiPriority w:val="99"/>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styleId="-60">
    <w:name w:val="List Table 6 Colorful"/>
    <w:basedOn w:val="a1"/>
    <w:uiPriority w:val="99"/>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styleId="-70">
    <w:name w:val="List Table 7 Colorful"/>
    <w:basedOn w:val="a1"/>
    <w:uiPriority w:val="99"/>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1"/>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styleId="af1">
    <w:name w:val="Hyperlink"/>
    <w:uiPriority w:val="99"/>
    <w:unhideWhenUsed/>
    <w:rPr>
      <w:color w:val="0000FF"/>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pPr>
      <w:spacing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3">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link w:val="afa"/>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sz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sz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sz w:val="24"/>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sz w:val="24"/>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sz w:val="24"/>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sz w:val="24"/>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sz w:val="24"/>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sz w:val="24"/>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imes New Roman" w:hAnsi="Times New Roman" w:cs="Times New Roman"/>
      <w:sz w:val="24"/>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sz w:val="24"/>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sz w:val="24"/>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8z0">
    <w:name w:val="WW8Num28z0"/>
    <w:rPr>
      <w:rFonts w:ascii="Times New Roman" w:hAnsi="Times New Roman" w:cs="Times New Roman"/>
      <w:sz w:val="24"/>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0z0">
    <w:name w:val="WW8Num30z0"/>
    <w:rPr>
      <w:rFonts w:ascii="Times New Roman" w:hAnsi="Times New Roman" w:cs="Times New Roman"/>
      <w:sz w:val="24"/>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Times New Roman" w:hAnsi="Times New Roman" w:cs="Times New Roman"/>
      <w:sz w:val="24"/>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sz w:val="24"/>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Times New Roman" w:hAnsi="Times New Roman" w:cs="Times New Roman"/>
      <w:sz w:val="24"/>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Times New Roman" w:hAnsi="Times New Roman" w:cs="Times New Roman"/>
      <w:b w:val="0"/>
      <w:i w:val="0"/>
      <w:sz w:val="20"/>
      <w:szCs w:val="24"/>
      <w:u w:val="none"/>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hAnsi="Symbol" w:cs="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sz w:val="24"/>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Times New Roman" w:hAnsi="Times New Roman" w:cs="Times New Roman"/>
      <w:sz w:val="24"/>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25">
    <w:name w:val="Основной шрифт абзаца2"/>
  </w:style>
  <w:style w:type="character" w:customStyle="1" w:styleId="43">
    <w:name w:val="Знак Знак4"/>
    <w:rPr>
      <w:rFonts w:ascii="Tahoma" w:hAnsi="Tahoma" w:cs="Tahoma"/>
      <w:sz w:val="16"/>
      <w:szCs w:val="16"/>
    </w:rPr>
  </w:style>
  <w:style w:type="character" w:customStyle="1" w:styleId="33">
    <w:name w:val="Знак Знак3"/>
    <w:basedOn w:val="25"/>
  </w:style>
  <w:style w:type="character" w:customStyle="1" w:styleId="26">
    <w:name w:val="Знак Знак2"/>
    <w:basedOn w:val="25"/>
  </w:style>
  <w:style w:type="character" w:customStyle="1" w:styleId="14">
    <w:name w:val="Знак Знак1"/>
    <w:rPr>
      <w:rFonts w:ascii="Tahoma" w:hAnsi="Tahoma" w:cs="Tahoma"/>
      <w:sz w:val="16"/>
      <w:szCs w:val="16"/>
    </w:rPr>
  </w:style>
  <w:style w:type="character" w:customStyle="1" w:styleId="-">
    <w:name w:val="Интернет-ссылка"/>
    <w:rPr>
      <w:color w:val="0000FF"/>
      <w:u w:val="single"/>
    </w:rPr>
  </w:style>
  <w:style w:type="character" w:customStyle="1" w:styleId="afb">
    <w:name w:val="Знак Знак Знак Знак Знак Знак"/>
    <w:rPr>
      <w:rFonts w:eastAsia="Times New Roman"/>
    </w:rPr>
  </w:style>
  <w:style w:type="character" w:customStyle="1" w:styleId="afa">
    <w:name w:val="Знак Знак"/>
    <w:link w:val="WW8Num2z8"/>
    <w:rPr>
      <w:rFonts w:eastAsia="Times New Roman"/>
      <w:b/>
      <w:sz w:val="24"/>
    </w:rPr>
  </w:style>
  <w:style w:type="character" w:customStyle="1" w:styleId="15">
    <w:name w:val="Основной шрифт абзаца1"/>
  </w:style>
  <w:style w:type="character" w:customStyle="1" w:styleId="afc">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ВерхКолонтитул Знак,h Знак"/>
    <w:uiPriority w:val="99"/>
    <w:rPr>
      <w:rFonts w:eastAsia="Calibri"/>
      <w:sz w:val="24"/>
      <w:szCs w:val="24"/>
      <w:lang w:eastAsia="zh-CN"/>
    </w:rPr>
  </w:style>
  <w:style w:type="paragraph" w:styleId="a6">
    <w:name w:val="Body Text"/>
    <w:basedOn w:val="a"/>
    <w:pPr>
      <w:spacing w:after="120" w:line="240" w:lineRule="auto"/>
      <w:jc w:val="left"/>
    </w:pPr>
    <w:rPr>
      <w:rFonts w:eastAsia="Times New Roman"/>
      <w:sz w:val="20"/>
      <w:szCs w:val="20"/>
      <w:lang w:val="en-US"/>
    </w:rPr>
  </w:style>
  <w:style w:type="paragraph" w:styleId="afd">
    <w:name w:val="List"/>
    <w:basedOn w:val="a6"/>
    <w:rPr>
      <w:rFonts w:cs="Arial"/>
    </w:rPr>
  </w:style>
  <w:style w:type="paragraph" w:customStyle="1" w:styleId="afe">
    <w:name w:val="Название"/>
    <w:basedOn w:val="a"/>
    <w:pPr>
      <w:suppressLineNumbers/>
      <w:spacing w:before="120" w:after="120"/>
    </w:pPr>
    <w:rPr>
      <w:rFonts w:cs="Arial"/>
      <w:i/>
      <w:iCs/>
    </w:rPr>
  </w:style>
  <w:style w:type="paragraph" w:styleId="aff">
    <w:name w:val="index heading"/>
    <w:basedOn w:val="a"/>
    <w:pPr>
      <w:suppressLineNumbers/>
    </w:pPr>
    <w:rPr>
      <w:rFonts w:cs="Arial"/>
    </w:rPr>
  </w:style>
  <w:style w:type="paragraph" w:customStyle="1" w:styleId="16">
    <w:name w:val="Заголовок1"/>
    <w:basedOn w:val="a"/>
    <w:next w:val="a6"/>
    <w:pPr>
      <w:keepNext/>
      <w:spacing w:before="240" w:after="120"/>
    </w:pPr>
    <w:rPr>
      <w:rFonts w:ascii="Arial" w:eastAsia="Microsoft YaHei" w:hAnsi="Arial" w:cs="Arial"/>
      <w:sz w:val="28"/>
      <w:szCs w:val="28"/>
    </w:rPr>
  </w:style>
  <w:style w:type="paragraph" w:customStyle="1" w:styleId="17">
    <w:name w:val="Указатель1"/>
    <w:basedOn w:val="a"/>
    <w:pPr>
      <w:suppressLineNumbers/>
    </w:pPr>
    <w:rPr>
      <w:rFonts w:cs="Arial"/>
    </w:rPr>
  </w:style>
  <w:style w:type="paragraph" w:styleId="aff0">
    <w:name w:val="Balloon Text"/>
    <w:basedOn w:val="a"/>
    <w:pPr>
      <w:spacing w:line="240" w:lineRule="auto"/>
    </w:pPr>
    <w:rPr>
      <w:rFonts w:ascii="Tahoma" w:hAnsi="Tahoma" w:cs="Tahoma"/>
      <w:sz w:val="16"/>
      <w:szCs w:val="16"/>
      <w:lang w:val="en-US"/>
    </w:rPr>
  </w:style>
  <w:style w:type="paragraph" w:customStyle="1" w:styleId="18">
    <w:name w:val="Схема документа1"/>
    <w:basedOn w:val="a"/>
    <w:pPr>
      <w:spacing w:line="240" w:lineRule="auto"/>
    </w:pPr>
    <w:rPr>
      <w:rFonts w:ascii="Tahoma" w:hAnsi="Tahoma" w:cs="Tahoma"/>
      <w:sz w:val="16"/>
      <w:szCs w:val="16"/>
      <w:lang w:val="en-US"/>
    </w:rPr>
  </w:style>
  <w:style w:type="paragraph" w:customStyle="1" w:styleId="aff1">
    <w:name w:val="Содержимое таблицы"/>
    <w:basedOn w:val="a"/>
    <w:pPr>
      <w:suppressLineNumbers/>
    </w:pPr>
  </w:style>
  <w:style w:type="paragraph" w:customStyle="1" w:styleId="aff2">
    <w:name w:val="Заголовок таблицы"/>
    <w:basedOn w:val="aff1"/>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Pages>
  <Words>793</Words>
  <Characters>4523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User</dc:creator>
  <cp:lastModifiedBy>Васикова Надежда Владимировна</cp:lastModifiedBy>
  <cp:revision>100</cp:revision>
  <cp:lastPrinted>2025-01-13T10:01:00Z</cp:lastPrinted>
  <dcterms:created xsi:type="dcterms:W3CDTF">1995-11-21T12:41:00Z</dcterms:created>
  <dcterms:modified xsi:type="dcterms:W3CDTF">2025-01-14T07:48:00Z</dcterms:modified>
</cp:coreProperties>
</file>