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2"/>
        <w:ind/>
        <w:jc w:val="right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 xml:space="preserve">                                                                 </w:t>
      </w:r>
      <w:bookmarkStart w:id="1" w:name="_GoBack"/>
      <w:bookmarkEnd w:id="1"/>
      <w:r>
        <w:rPr>
          <w:rFonts w:ascii="PT Astra Serif" w:hAnsi="PT Astra Serif"/>
          <w:sz w:val="22"/>
        </w:rPr>
        <w:t xml:space="preserve">                    </w:t>
      </w:r>
      <w:r>
        <w:rPr>
          <w:rFonts w:ascii="PT Astra Serif" w:hAnsi="PT Astra Serif"/>
          <w:i w:val="1"/>
          <w:sz w:val="22"/>
        </w:rPr>
        <w:t>Приложение 4</w:t>
      </w:r>
    </w:p>
    <w:p w14:paraId="06000000">
      <w:pPr>
        <w:pStyle w:val="Style_2"/>
        <w:spacing w:line="264" w:lineRule="auto"/>
        <w:ind w:firstLine="709" w:left="0" w:right="0"/>
        <w:jc w:val="right"/>
        <w:rPr>
          <w:rFonts w:ascii="PT Astra Serif" w:hAnsi="PT Astra Serif"/>
          <w:i w:val="1"/>
          <w:sz w:val="22"/>
        </w:rPr>
      </w:pPr>
      <w:r>
        <w:rPr>
          <w:rFonts w:ascii="PT Astra Serif" w:hAnsi="PT Astra Serif"/>
          <w:i w:val="1"/>
          <w:sz w:val="22"/>
        </w:rPr>
        <w:t>к постановлению администрации</w:t>
      </w:r>
    </w:p>
    <w:p w14:paraId="07000000">
      <w:pPr>
        <w:pStyle w:val="Style_2"/>
        <w:spacing w:line="264" w:lineRule="auto"/>
        <w:ind w:firstLine="709" w:left="0" w:right="0"/>
        <w:jc w:val="right"/>
        <w:rPr>
          <w:rFonts w:ascii="PT Astra Serif" w:hAnsi="PT Astra Serif"/>
          <w:i w:val="1"/>
          <w:sz w:val="22"/>
        </w:rPr>
      </w:pPr>
      <w:r>
        <w:rPr>
          <w:rFonts w:ascii="PT Astra Serif" w:hAnsi="PT Astra Serif"/>
          <w:i w:val="1"/>
          <w:sz w:val="22"/>
        </w:rPr>
        <w:t>города Магнитогорска</w:t>
      </w:r>
    </w:p>
    <w:p w14:paraId="08000000">
      <w:pPr>
        <w:pStyle w:val="Style_2"/>
        <w:spacing w:line="264" w:lineRule="auto"/>
        <w:ind w:firstLine="709" w:left="0" w:right="0"/>
        <w:jc w:val="right"/>
        <w:rPr>
          <w:rFonts w:ascii="PT Astra Serif" w:hAnsi="PT Astra Serif"/>
          <w:i w:val="1"/>
          <w:sz w:val="22"/>
        </w:rPr>
      </w:pPr>
      <w:r>
        <w:rPr>
          <w:rFonts w:ascii="PT Astra Serif" w:hAnsi="PT Astra Serif"/>
          <w:i w:val="1"/>
          <w:sz w:val="22"/>
        </w:rPr>
        <w:t>от_______________№____________</w:t>
      </w:r>
    </w:p>
    <w:p w14:paraId="09000000">
      <w:pPr>
        <w:pStyle w:val="Style_2"/>
        <w:rPr>
          <w:rFonts w:ascii="PT Astra Serif" w:hAnsi="PT Astra Serif"/>
          <w:sz w:val="22"/>
        </w:rPr>
      </w:pPr>
    </w:p>
    <w:p w14:paraId="0A000000">
      <w:pPr>
        <w:pStyle w:val="Style_2"/>
        <w:ind/>
        <w:jc w:val="center"/>
        <w:rPr>
          <w:rFonts w:ascii="PT Astra Serif" w:hAnsi="PT Astra Serif"/>
          <w:b w:val="1"/>
          <w:sz w:val="22"/>
        </w:rPr>
      </w:pPr>
      <w:r>
        <w:rPr>
          <w:rFonts w:ascii="PT Astra Serif" w:hAnsi="PT Astra Serif"/>
          <w:b w:val="1"/>
          <w:sz w:val="22"/>
        </w:rPr>
        <w:t>Расчетные показатели минимально допустимого уровня обеспеченности объектами коммунально</w:t>
      </w:r>
      <w:r>
        <w:rPr>
          <w:rFonts w:ascii="PT Astra Serif" w:hAnsi="PT Astra Serif"/>
          <w:b w:val="1"/>
          <w:color w:val="000000"/>
          <w:sz w:val="22"/>
        </w:rPr>
        <w:t>й, транспортной, социальной инфраструктур и расчетные показатели максимально допустимого уровня территориальной доступности указанных объектов</w:t>
      </w:r>
      <w:r>
        <w:rPr>
          <w:rFonts w:ascii="PT Astra Serif" w:hAnsi="PT Astra Serif"/>
          <w:b w:val="1"/>
          <w:color w:val="000000"/>
          <w:sz w:val="22"/>
        </w:rPr>
        <w:br/>
      </w:r>
      <w:r>
        <w:rPr>
          <w:rFonts w:ascii="PT Astra Serif" w:hAnsi="PT Astra Serif"/>
          <w:b w:val="1"/>
          <w:color w:val="000000"/>
          <w:sz w:val="22"/>
        </w:rPr>
        <w:t>для населения на территории комплексного развития территории нежилой застройки</w:t>
      </w:r>
    </w:p>
    <w:p w14:paraId="0B000000">
      <w:pPr>
        <w:pStyle w:val="Style_2"/>
        <w:ind/>
        <w:jc w:val="center"/>
        <w:rPr>
          <w:rFonts w:ascii="PT Astra Serif" w:hAnsi="PT Astra Serif"/>
          <w:b w:val="1"/>
          <w:sz w:val="22"/>
        </w:rPr>
      </w:pPr>
      <w:r>
        <w:rPr>
          <w:rFonts w:ascii="PT Astra Serif" w:hAnsi="PT Astra Serif"/>
          <w:b w:val="1"/>
          <w:color w:val="000000"/>
          <w:sz w:val="22"/>
        </w:rPr>
        <w:t>в границах улиц 50-летия Магнитки, Тевосяна, Зеленый лог, шоссе Западное</w:t>
      </w:r>
    </w:p>
    <w:p w14:paraId="0C000000">
      <w:pPr>
        <w:pStyle w:val="Style_2"/>
        <w:ind/>
        <w:jc w:val="center"/>
        <w:rPr>
          <w:rFonts w:ascii="PT Astra Serif" w:hAnsi="PT Astra Serif"/>
          <w:b w:val="1"/>
          <w:sz w:val="22"/>
        </w:rPr>
      </w:pPr>
      <w:r>
        <w:rPr>
          <w:rFonts w:ascii="PT Astra Serif" w:hAnsi="PT Astra Serif"/>
          <w:b w:val="1"/>
          <w:color w:val="000000"/>
          <w:sz w:val="22"/>
        </w:rPr>
        <w:t>города Магнитогорска</w:t>
      </w:r>
    </w:p>
    <w:p w14:paraId="0D000000">
      <w:pPr>
        <w:pStyle w:val="Style_2"/>
        <w:ind/>
        <w:jc w:val="center"/>
        <w:rPr>
          <w:rFonts w:ascii="PT Astra Serif" w:hAnsi="PT Astra Serif"/>
          <w:sz w:val="22"/>
        </w:rPr>
      </w:pPr>
    </w:p>
    <w:p w14:paraId="0E000000">
      <w:pPr>
        <w:pStyle w:val="Style_2"/>
        <w:ind w:firstLine="68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случае, если в границах территориальной зоны, применительно к которой устанавливается градостроительный регламент, предусматривается осуществление деятельности по комплексному развитию территории (далее – КРТ):</w:t>
      </w:r>
    </w:p>
    <w:p w14:paraId="0F000000">
      <w:pPr>
        <w:pStyle w:val="Style_2"/>
        <w:ind w:firstLine="68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1) при размещении отдельно стоящих детских дошкольных учреждений и детских образовательных учреждений площадь земельных участков может быть уменьшена с учетом соблюдения требований санитарных и технических норм при условии выделения спортивного ядра для таких учреждений в отдельный земельный участок общего пользования или общего доступа (сервитут или публичный сервитут) на:</w:t>
      </w:r>
    </w:p>
    <w:p w14:paraId="10000000">
      <w:pPr>
        <w:pStyle w:val="Style_2"/>
        <w:ind w:firstLine="68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 xml:space="preserve">– </w:t>
      </w:r>
      <w:r>
        <w:rPr>
          <w:rFonts w:ascii="PT Astra Serif" w:hAnsi="PT Astra Serif"/>
          <w:sz w:val="22"/>
        </w:rPr>
        <w:t>20 % для детских дошкольных учреждений;</w:t>
      </w:r>
    </w:p>
    <w:p w14:paraId="11000000">
      <w:pPr>
        <w:pStyle w:val="Style_2"/>
        <w:ind w:firstLine="68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 xml:space="preserve">– </w:t>
      </w:r>
      <w:r>
        <w:rPr>
          <w:rFonts w:ascii="PT Astra Serif" w:hAnsi="PT Astra Serif"/>
          <w:sz w:val="22"/>
        </w:rPr>
        <w:t>40 % для детских образовательных учреждений;</w:t>
      </w:r>
    </w:p>
    <w:p w14:paraId="12000000">
      <w:pPr>
        <w:pStyle w:val="Style_2"/>
        <w:ind w:firstLine="68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2) открытые плоскостные автостоянки не могут занимать более 30 % от площади территори</w:t>
      </w:r>
      <w:r>
        <w:rPr>
          <w:rFonts w:ascii="PT Astra Serif" w:hAnsi="PT Astra Serif"/>
          <w:sz w:val="22"/>
        </w:rPr>
        <w:t>и КРТ</w:t>
      </w:r>
      <w:r>
        <w:rPr>
          <w:rFonts w:ascii="PT Astra Serif" w:hAnsi="PT Astra Serif"/>
          <w:sz w:val="22"/>
        </w:rPr>
        <w:t>;</w:t>
      </w:r>
    </w:p>
    <w:p w14:paraId="13000000">
      <w:pPr>
        <w:pStyle w:val="Style_2"/>
        <w:ind w:firstLine="68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 xml:space="preserve">3) обеспеченность машино-местами принимается за 360 машино-мест / 1000 человек; </w:t>
      </w:r>
    </w:p>
    <w:p w14:paraId="14000000">
      <w:pPr>
        <w:pStyle w:val="Style_2"/>
        <w:ind w:firstLine="68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4) в границах территори</w:t>
      </w:r>
      <w:r>
        <w:rPr>
          <w:rFonts w:ascii="PT Astra Serif" w:hAnsi="PT Astra Serif"/>
          <w:sz w:val="22"/>
        </w:rPr>
        <w:t>и КРТ</w:t>
      </w:r>
      <w:r>
        <w:rPr>
          <w:rFonts w:ascii="PT Astra Serif" w:hAnsi="PT Astra Serif"/>
          <w:sz w:val="22"/>
        </w:rPr>
        <w:t xml:space="preserve"> размеща</w:t>
      </w:r>
      <w:r>
        <w:rPr>
          <w:rFonts w:ascii="PT Astra Serif" w:hAnsi="PT Astra Serif"/>
          <w:sz w:val="22"/>
        </w:rPr>
        <w:t>ется не менее</w:t>
      </w:r>
      <w:r>
        <w:rPr>
          <w:rFonts w:ascii="PT Astra Serif" w:hAnsi="PT Astra Serif"/>
          <w:sz w:val="22"/>
        </w:rPr>
        <w:t xml:space="preserve"> 70 % от расчетного количества машино-мест;</w:t>
      </w:r>
    </w:p>
    <w:p w14:paraId="15000000">
      <w:pPr>
        <w:pStyle w:val="Style_2"/>
        <w:ind w:firstLine="68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5) допускается размещать на территориях общего пользования улично-дорожной сети не более 10 % от расчетного количества машино-мест при условии отсутствия жилых помещений на первых этажах зданий, расположенных вдоль красных линий, территорий общего пользования.</w:t>
      </w:r>
    </w:p>
    <w:p w14:paraId="16000000">
      <w:pPr>
        <w:pStyle w:val="Style_2"/>
        <w:ind w:firstLine="68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6) допускается совместное использование машино-мест при расчете обеспеченности машино-местами для жилья и коммерции, расположенных в одном объекте капитального строительства;</w:t>
      </w:r>
    </w:p>
    <w:p w14:paraId="17000000">
      <w:pPr>
        <w:pStyle w:val="Style_2"/>
        <w:ind w:firstLine="680" w:left="0" w:right="0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7) объекты социальной и коммунальной инфраструктур:</w:t>
      </w:r>
    </w:p>
    <w:p w14:paraId="18000000">
      <w:pPr>
        <w:pStyle w:val="Style_2"/>
        <w:ind w:firstLine="680" w:left="0" w:right="0"/>
        <w:rPr>
          <w:rFonts w:ascii="PT Astra Serif" w:hAnsi="PT Astra Serif"/>
          <w:sz w:val="22"/>
        </w:rPr>
      </w:pPr>
    </w:p>
    <w:tbl>
      <w:tblPr>
        <w:tblStyle w:val="Style_3"/>
        <w:tblW w:type="auto" w:w="0"/>
        <w:jc w:val="left"/>
        <w:tblInd w:type="dxa" w:w="-7"/>
        <w:tblLayout w:type="fixed"/>
        <w:tblCellMar>
          <w:top w:type="dxa" w:w="0"/>
          <w:left w:type="dxa" w:w="2"/>
          <w:bottom w:type="dxa" w:w="0"/>
          <w:right w:type="dxa" w:w="108"/>
        </w:tblCellMar>
      </w:tblPr>
      <w:tblGrid>
        <w:gridCol w:w="661"/>
        <w:gridCol w:w="2890"/>
        <w:gridCol w:w="1562"/>
        <w:gridCol w:w="2264"/>
        <w:gridCol w:w="2272"/>
      </w:tblGrid>
      <w:tr>
        <w:trPr>
          <w:trHeight w:hRule="atLeast" w:val="23"/>
        </w:trPr>
        <w:tc>
          <w:tcPr>
            <w:tcW w:type="dxa" w:w="661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</w:tcPr>
          <w:p w14:paraId="19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 xml:space="preserve">№ </w:t>
            </w:r>
            <w:r>
              <w:rPr>
                <w:rFonts w:ascii="PT Astra Serif" w:hAnsi="PT Astra Serif"/>
                <w:spacing w:val="0"/>
                <w:sz w:val="22"/>
              </w:rPr>
              <w:t>п/п</w:t>
            </w:r>
          </w:p>
        </w:tc>
        <w:tc>
          <w:tcPr>
            <w:tcW w:type="dxa" w:w="2890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</w:tcPr>
          <w:p w14:paraId="1A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Наименование</w:t>
            </w:r>
            <w:r>
              <w:rPr>
                <w:rFonts w:ascii="PT Astra Serif" w:hAnsi="PT Astra Serif"/>
                <w:spacing w:val="0"/>
                <w:sz w:val="22"/>
              </w:rPr>
              <w:br/>
            </w:r>
            <w:r>
              <w:rPr>
                <w:rFonts w:ascii="PT Astra Serif" w:hAnsi="PT Astra Serif"/>
                <w:spacing w:val="0"/>
                <w:sz w:val="22"/>
              </w:rPr>
              <w:t>показателя</w:t>
            </w:r>
          </w:p>
        </w:tc>
        <w:tc>
          <w:tcPr>
            <w:tcW w:type="dxa" w:w="1562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</w:tcPr>
          <w:p w14:paraId="1B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Единица измерения</w:t>
            </w:r>
          </w:p>
        </w:tc>
        <w:tc>
          <w:tcPr>
            <w:tcW w:type="dxa" w:w="2264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</w:tcPr>
          <w:p w14:paraId="1C000000">
            <w:pPr>
              <w:pStyle w:val="Style_2"/>
              <w:spacing w:line="240" w:lineRule="auto"/>
              <w:ind w:firstLine="0" w:left="0" w:right="-111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Минимально допустимый уровень обеспеченности</w:t>
            </w:r>
          </w:p>
        </w:tc>
        <w:tc>
          <w:tcPr>
            <w:tcW w:type="dxa" w:w="227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</w:tcPr>
          <w:p w14:paraId="1D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Максимально допустимый уровень территориальной доступности, м</w:t>
            </w:r>
          </w:p>
        </w:tc>
      </w:tr>
      <w:tr>
        <w:trPr>
          <w:trHeight w:hRule="atLeast" w:val="23"/>
        </w:trPr>
        <w:tc>
          <w:tcPr>
            <w:tcW w:type="dxa" w:w="661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1E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</w:t>
            </w:r>
          </w:p>
        </w:tc>
        <w:tc>
          <w:tcPr>
            <w:tcW w:type="dxa" w:w="2890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1F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2</w:t>
            </w:r>
          </w:p>
        </w:tc>
        <w:tc>
          <w:tcPr>
            <w:tcW w:type="dxa" w:w="1562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0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3</w:t>
            </w:r>
          </w:p>
        </w:tc>
        <w:tc>
          <w:tcPr>
            <w:tcW w:type="dxa" w:w="2264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1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4</w:t>
            </w:r>
          </w:p>
        </w:tc>
        <w:tc>
          <w:tcPr>
            <w:tcW w:type="dxa" w:w="227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2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5</w:t>
            </w:r>
          </w:p>
        </w:tc>
      </w:tr>
      <w:tr>
        <w:trPr>
          <w:trHeight w:hRule="atLeast" w:val="23"/>
        </w:trPr>
        <w:tc>
          <w:tcPr>
            <w:tcW w:type="dxa" w:w="661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3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1.</w:t>
            </w:r>
          </w:p>
        </w:tc>
        <w:tc>
          <w:tcPr>
            <w:tcW w:type="dxa" w:w="2890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4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детские общеобразовательные учреждения</w:t>
            </w:r>
          </w:p>
        </w:tc>
        <w:tc>
          <w:tcPr>
            <w:tcW w:type="dxa" w:w="1562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5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 место</w:t>
            </w:r>
          </w:p>
        </w:tc>
        <w:tc>
          <w:tcPr>
            <w:tcW w:type="dxa" w:w="2264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6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145</w:t>
            </w:r>
          </w:p>
          <w:p w14:paraId="27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на 1000 жителей</w:t>
            </w:r>
          </w:p>
        </w:tc>
        <w:tc>
          <w:tcPr>
            <w:tcW w:type="dxa" w:w="227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8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800 или 15-ти минутная транспортная доступность</w:t>
            </w:r>
          </w:p>
        </w:tc>
      </w:tr>
      <w:tr>
        <w:trPr>
          <w:trHeight w:hRule="atLeast" w:val="766"/>
        </w:trPr>
        <w:tc>
          <w:tcPr>
            <w:tcW w:type="dxa" w:w="661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9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2.</w:t>
            </w:r>
          </w:p>
        </w:tc>
        <w:tc>
          <w:tcPr>
            <w:tcW w:type="dxa" w:w="2890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A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детские дошкольные учреждения</w:t>
            </w:r>
          </w:p>
        </w:tc>
        <w:tc>
          <w:tcPr>
            <w:tcW w:type="dxa" w:w="1562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B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 место</w:t>
            </w:r>
          </w:p>
        </w:tc>
        <w:tc>
          <w:tcPr>
            <w:tcW w:type="dxa" w:w="2264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C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60</w:t>
            </w:r>
          </w:p>
          <w:p w14:paraId="2D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на 1000 жителей</w:t>
            </w:r>
          </w:p>
        </w:tc>
        <w:tc>
          <w:tcPr>
            <w:tcW w:type="dxa" w:w="227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E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500</w:t>
            </w:r>
          </w:p>
        </w:tc>
      </w:tr>
      <w:tr>
        <w:trPr>
          <w:trHeight w:hRule="atLeast" w:val="23"/>
        </w:trPr>
        <w:tc>
          <w:tcPr>
            <w:tcW w:type="dxa" w:w="661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2F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3.</w:t>
            </w:r>
          </w:p>
        </w:tc>
        <w:tc>
          <w:tcPr>
            <w:tcW w:type="dxa" w:w="2890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0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амбулаторно- поликлиническая сеть, диспансеры без стационара</w:t>
            </w:r>
          </w:p>
        </w:tc>
        <w:tc>
          <w:tcPr>
            <w:tcW w:type="dxa" w:w="1562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1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 посещение в смену</w:t>
            </w:r>
          </w:p>
        </w:tc>
        <w:tc>
          <w:tcPr>
            <w:tcW w:type="dxa" w:w="2264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2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не менее 18,15</w:t>
            </w:r>
          </w:p>
          <w:p w14:paraId="33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на 1000 жителей</w:t>
            </w:r>
          </w:p>
        </w:tc>
        <w:tc>
          <w:tcPr>
            <w:tcW w:type="dxa" w:w="227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4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1000 или 15-ти минутная транспортная доступность</w:t>
            </w:r>
          </w:p>
        </w:tc>
      </w:tr>
      <w:tr>
        <w:trPr>
          <w:trHeight w:hRule="atLeast" w:val="510"/>
        </w:trPr>
        <w:tc>
          <w:tcPr>
            <w:tcW w:type="dxa" w:w="661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5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4.</w:t>
            </w:r>
          </w:p>
        </w:tc>
        <w:tc>
          <w:tcPr>
            <w:tcW w:type="dxa" w:w="2890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6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аптеки</w:t>
            </w:r>
          </w:p>
        </w:tc>
        <w:tc>
          <w:tcPr>
            <w:tcW w:type="dxa" w:w="1562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7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 учреждение</w:t>
            </w:r>
          </w:p>
        </w:tc>
        <w:tc>
          <w:tcPr>
            <w:tcW w:type="dxa" w:w="2264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8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 на 10 тыс. жителей</w:t>
            </w:r>
          </w:p>
        </w:tc>
        <w:tc>
          <w:tcPr>
            <w:tcW w:type="dxa" w:w="227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9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500</w:t>
            </w:r>
          </w:p>
        </w:tc>
      </w:tr>
      <w:tr>
        <w:trPr>
          <w:trHeight w:hRule="atLeast" w:val="750"/>
        </w:trPr>
        <w:tc>
          <w:tcPr>
            <w:tcW w:type="dxa" w:w="661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A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5.</w:t>
            </w:r>
          </w:p>
        </w:tc>
        <w:tc>
          <w:tcPr>
            <w:tcW w:type="dxa" w:w="2890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B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объекты торговли</w:t>
            </w:r>
          </w:p>
        </w:tc>
        <w:tc>
          <w:tcPr>
            <w:tcW w:type="dxa" w:w="1562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C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кв. м торговой площади</w:t>
            </w:r>
          </w:p>
        </w:tc>
        <w:tc>
          <w:tcPr>
            <w:tcW w:type="dxa" w:w="2264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D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552-580</w:t>
            </w:r>
          </w:p>
          <w:p w14:paraId="3E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на 1000 жителей</w:t>
            </w:r>
          </w:p>
        </w:tc>
        <w:tc>
          <w:tcPr>
            <w:tcW w:type="dxa" w:w="227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3F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500</w:t>
            </w:r>
          </w:p>
        </w:tc>
      </w:tr>
      <w:tr>
        <w:trPr>
          <w:trHeight w:hRule="atLeast" w:val="726"/>
        </w:trPr>
        <w:tc>
          <w:tcPr>
            <w:tcW w:type="dxa" w:w="661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0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6.</w:t>
            </w:r>
          </w:p>
        </w:tc>
        <w:tc>
          <w:tcPr>
            <w:tcW w:type="dxa" w:w="2890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1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предприятия общественного питания</w:t>
            </w:r>
          </w:p>
        </w:tc>
        <w:tc>
          <w:tcPr>
            <w:tcW w:type="dxa" w:w="1562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2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 посадочное место</w:t>
            </w:r>
          </w:p>
        </w:tc>
        <w:tc>
          <w:tcPr>
            <w:tcW w:type="dxa" w:w="2264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3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40</w:t>
            </w:r>
          </w:p>
          <w:p w14:paraId="44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на 1000 жителей</w:t>
            </w:r>
          </w:p>
        </w:tc>
        <w:tc>
          <w:tcPr>
            <w:tcW w:type="dxa" w:w="227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5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500</w:t>
            </w:r>
          </w:p>
        </w:tc>
      </w:tr>
      <w:tr>
        <w:trPr>
          <w:trHeight w:hRule="atLeast" w:val="750"/>
        </w:trPr>
        <w:tc>
          <w:tcPr>
            <w:tcW w:type="dxa" w:w="661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6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7.</w:t>
            </w:r>
          </w:p>
        </w:tc>
        <w:tc>
          <w:tcPr>
            <w:tcW w:type="dxa" w:w="2890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7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предприятия бытового обслуживания населения</w:t>
            </w:r>
          </w:p>
        </w:tc>
        <w:tc>
          <w:tcPr>
            <w:tcW w:type="dxa" w:w="1562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8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 рабочее  место</w:t>
            </w:r>
          </w:p>
        </w:tc>
        <w:tc>
          <w:tcPr>
            <w:tcW w:type="dxa" w:w="2264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9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5</w:t>
            </w:r>
          </w:p>
          <w:p w14:paraId="4A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на 1000 жителей</w:t>
            </w:r>
          </w:p>
        </w:tc>
        <w:tc>
          <w:tcPr>
            <w:tcW w:type="dxa" w:w="227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B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500</w:t>
            </w:r>
          </w:p>
        </w:tc>
      </w:tr>
      <w:tr>
        <w:trPr>
          <w:trHeight w:hRule="atLeast" w:val="23"/>
        </w:trPr>
        <w:tc>
          <w:tcPr>
            <w:tcW w:type="dxa" w:w="661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C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8.</w:t>
            </w:r>
          </w:p>
        </w:tc>
        <w:tc>
          <w:tcPr>
            <w:tcW w:type="dxa" w:w="2890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D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отделения связи</w:t>
            </w:r>
          </w:p>
        </w:tc>
        <w:tc>
          <w:tcPr>
            <w:tcW w:type="dxa" w:w="1562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E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 объект</w:t>
            </w:r>
          </w:p>
        </w:tc>
        <w:tc>
          <w:tcPr>
            <w:tcW w:type="dxa" w:w="2264"/>
            <w:tcBorders>
              <w:top w:color="000001" w:sz="2" w:val="single"/>
              <w:left w:color="000001" w:sz="2" w:val="single"/>
              <w:bottom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4F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1 объект</w:t>
            </w:r>
          </w:p>
          <w:p w14:paraId="50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на 9 – 25 тыс. жителей</w:t>
            </w:r>
          </w:p>
          <w:p w14:paraId="51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(по категориям)</w:t>
            </w:r>
          </w:p>
        </w:tc>
        <w:tc>
          <w:tcPr>
            <w:tcW w:type="dxa" w:w="227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shd w:fill="auto" w:val="clear"/>
            <w:tcMar>
              <w:top w:type="dxa" w:w="0"/>
              <w:left w:type="dxa" w:w="2"/>
              <w:bottom w:type="dxa" w:w="0"/>
              <w:right w:type="dxa" w:w="108"/>
            </w:tcMar>
            <w:vAlign w:val="center"/>
          </w:tcPr>
          <w:p w14:paraId="52000000">
            <w:pPr>
              <w:pStyle w:val="Style_2"/>
              <w:spacing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sz w:val="22"/>
              </w:rPr>
              <w:t>500</w:t>
            </w:r>
          </w:p>
        </w:tc>
      </w:tr>
    </w:tbl>
    <w:p w14:paraId="53000000">
      <w:pPr>
        <w:pStyle w:val="Style_2"/>
        <w:ind w:firstLine="680" w:left="0" w:right="0"/>
        <w:rPr>
          <w:rFonts w:ascii="PT Astra Serif" w:hAnsi="PT Astra Serif"/>
          <w:spacing w:val="-6"/>
          <w:sz w:val="22"/>
        </w:rPr>
      </w:pPr>
    </w:p>
    <w:p w14:paraId="54000000">
      <w:pPr>
        <w:pStyle w:val="Style_2"/>
        <w:ind w:firstLine="680" w:left="0" w:right="0"/>
        <w:rPr>
          <w:rFonts w:ascii="PT Astra Serif" w:hAnsi="PT Astra Serif"/>
          <w:spacing w:val="-6"/>
          <w:sz w:val="22"/>
        </w:rPr>
      </w:pPr>
    </w:p>
    <w:p w14:paraId="55000000">
      <w:pPr>
        <w:pStyle w:val="Style_2"/>
        <w:ind w:firstLine="680" w:left="0" w:right="0"/>
        <w:rPr>
          <w:rFonts w:ascii="PT Astra Serif" w:hAnsi="PT Astra Serif"/>
          <w:spacing w:val="-6"/>
          <w:sz w:val="22"/>
        </w:rPr>
      </w:pPr>
    </w:p>
    <w:p w14:paraId="56000000">
      <w:pPr>
        <w:pStyle w:val="Style_2"/>
        <w:ind w:firstLine="540" w:left="0" w:right="0"/>
        <w:jc w:val="both"/>
        <w:rPr>
          <w:rFonts w:ascii="PT Astra Serif" w:hAnsi="PT Astra Serif"/>
          <w:sz w:val="22"/>
        </w:rPr>
      </w:pPr>
    </w:p>
    <w:p w14:paraId="57000000">
      <w:pPr>
        <w:pStyle w:val="Style_2"/>
        <w:ind/>
        <w:jc w:val="left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Начальник Управления</w:t>
      </w:r>
      <w:r>
        <w:rPr>
          <w:rFonts w:ascii="PT Astra Serif" w:hAnsi="PT Astra Serif"/>
          <w:sz w:val="22"/>
        </w:rPr>
        <w:br/>
      </w:r>
      <w:r>
        <w:rPr>
          <w:rFonts w:ascii="PT Astra Serif" w:hAnsi="PT Astra Serif"/>
          <w:sz w:val="22"/>
        </w:rPr>
        <w:t>архитектуры и градостроительства</w:t>
      </w:r>
      <w:r>
        <w:rPr>
          <w:rFonts w:ascii="PT Astra Serif" w:hAnsi="PT Astra Serif"/>
          <w:sz w:val="22"/>
        </w:rPr>
        <w:br/>
      </w:r>
      <w:r>
        <w:rPr>
          <w:rFonts w:ascii="PT Astra Serif" w:hAnsi="PT Astra Serif"/>
          <w:sz w:val="22"/>
        </w:rPr>
        <w:t>администрации города Магнитогорска                                                                                      К.С. Хуртин</w:t>
      </w:r>
    </w:p>
    <w:sectPr>
      <w:headerReference r:id="rId3" w:type="default"/>
      <w:headerReference r:id="rId1" w:type="first"/>
      <w:headerReference r:id="rId2" w:type="even"/>
      <w:type w:val="nextPage"/>
      <w:pgSz w:h="16838" w:orient="portrait" w:w="11906"/>
      <w:pgMar w:bottom="720" w:footer="0" w:gutter="0" w:header="426" w:left="1701" w:right="567" w:top="1126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default="1" w:styleId="Style_2_ch" w:type="character">
    <w:name w:val="Normal"/>
    <w:link w:val="Style_2"/>
    <w:rPr>
      <w:rFonts w:ascii="Liberation Serif" w:hAnsi="Liberation Serif"/>
      <w:color w:val="000000"/>
      <w:spacing w:val="0"/>
      <w:sz w:val="24"/>
    </w:rPr>
  </w:style>
  <w:style w:styleId="Style_4" w:type="paragraph">
    <w:name w:val="Заголовок2"/>
    <w:basedOn w:val="Style_2"/>
    <w:next w:val="Style_5"/>
    <w:link w:val="Style_4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4_ch" w:type="character">
    <w:name w:val="Заголовок2"/>
    <w:basedOn w:val="Style_2_ch"/>
    <w:link w:val="Style_4"/>
    <w:rPr>
      <w:rFonts w:ascii="PT Astra Serif" w:hAnsi="PT Astra Serif"/>
      <w:sz w:val="28"/>
    </w:rPr>
  </w:style>
  <w:style w:styleId="Style_6" w:type="paragraph">
    <w:name w:val="Heading 31"/>
    <w:link w:val="Style_6_ch"/>
    <w:rPr>
      <w:rFonts w:ascii="XO Thames" w:hAnsi="XO Thames"/>
      <w:b w:val="1"/>
      <w:sz w:val="26"/>
    </w:rPr>
  </w:style>
  <w:style w:styleId="Style_6_ch" w:type="character">
    <w:name w:val="Heading 31"/>
    <w:link w:val="Style_6"/>
    <w:rPr>
      <w:rFonts w:ascii="XO Thames" w:hAnsi="XO Thames"/>
      <w:b w:val="1"/>
      <w:sz w:val="26"/>
    </w:rPr>
  </w:style>
  <w:style w:styleId="Style_7" w:type="paragraph">
    <w:name w:val="toc 2"/>
    <w:next w:val="Style_2"/>
    <w:link w:val="Style_7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2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Text body"/>
    <w:link w:val="Style_8_ch"/>
  </w:style>
  <w:style w:styleId="Style_8_ch" w:type="character">
    <w:name w:val="Text body"/>
    <w:link w:val="Style_8"/>
  </w:style>
  <w:style w:styleId="Style_9" w:type="paragraph">
    <w:name w:val="Header and Footer1"/>
    <w:basedOn w:val="Style_2"/>
    <w:link w:val="Style_9_ch"/>
  </w:style>
  <w:style w:styleId="Style_9_ch" w:type="character">
    <w:name w:val="Header and Footer1"/>
    <w:basedOn w:val="Style_2_ch"/>
    <w:link w:val="Style_9"/>
  </w:style>
  <w:style w:styleId="Style_10" w:type="paragraph">
    <w:name w:val="List"/>
    <w:basedOn w:val="Style_5"/>
    <w:link w:val="Style_10_ch"/>
  </w:style>
  <w:style w:styleId="Style_10_ch" w:type="character">
    <w:name w:val="List"/>
    <w:basedOn w:val="Style_5_ch"/>
    <w:link w:val="Style_10"/>
  </w:style>
  <w:style w:styleId="Style_11" w:type="paragraph">
    <w:name w:val="Указатель2"/>
    <w:basedOn w:val="Style_2"/>
    <w:link w:val="Style_11_ch"/>
    <w:rPr>
      <w:rFonts w:ascii="PT Astra Serif" w:hAnsi="PT Astra Serif"/>
    </w:rPr>
  </w:style>
  <w:style w:styleId="Style_11_ch" w:type="character">
    <w:name w:val="Указатель2"/>
    <w:basedOn w:val="Style_2_ch"/>
    <w:link w:val="Style_11"/>
    <w:rPr>
      <w:rFonts w:ascii="PT Astra Serif" w:hAnsi="PT Astra Serif"/>
    </w:rPr>
  </w:style>
  <w:style w:styleId="Style_12" w:type="paragraph">
    <w:name w:val="toc 4"/>
    <w:next w:val="Style_2"/>
    <w:link w:val="Style_12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4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WW_CharLFO1LVL61"/>
    <w:link w:val="Style_13_ch"/>
    <w:pPr>
      <w:widowControl w:val="1"/>
      <w:spacing w:after="0" w:before="0" w:line="240" w:lineRule="auto"/>
      <w:ind w:firstLine="0" w:left="0" w:right="0"/>
      <w:jc w:val="left"/>
    </w:pPr>
    <w:rPr>
      <w:rFonts w:ascii="Wingdings" w:hAnsi="Wingdings"/>
      <w:color w:val="000000"/>
      <w:spacing w:val="0"/>
      <w:sz w:val="20"/>
    </w:rPr>
  </w:style>
  <w:style w:styleId="Style_13_ch" w:type="character">
    <w:name w:val="WW_CharLFO1LVL61"/>
    <w:link w:val="Style_13"/>
    <w:rPr>
      <w:rFonts w:ascii="Wingdings" w:hAnsi="Wingdings"/>
      <w:color w:val="000000"/>
      <w:spacing w:val="0"/>
      <w:sz w:val="20"/>
    </w:rPr>
  </w:style>
  <w:style w:styleId="Style_14" w:type="paragraph">
    <w:name w:val="Title1"/>
    <w:link w:val="Style_14_ch"/>
    <w:rPr>
      <w:rFonts w:ascii="XO Thames" w:hAnsi="XO Thames"/>
      <w:b w:val="1"/>
      <w:caps w:val="1"/>
      <w:sz w:val="40"/>
    </w:rPr>
  </w:style>
  <w:style w:styleId="Style_14_ch" w:type="character">
    <w:name w:val="Title1"/>
    <w:link w:val="Style_14"/>
    <w:rPr>
      <w:rFonts w:ascii="XO Thames" w:hAnsi="XO Thames"/>
      <w:b w:val="1"/>
      <w:caps w:val="1"/>
      <w:sz w:val="40"/>
    </w:rPr>
  </w:style>
  <w:style w:styleId="Style_15" w:type="paragraph">
    <w:name w:val="toc 6"/>
    <w:next w:val="Style_2"/>
    <w:link w:val="Style_15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5_ch" w:type="character">
    <w:name w:val="toc 6"/>
    <w:link w:val="Style_15"/>
    <w:rPr>
      <w:rFonts w:ascii="XO Thames" w:hAnsi="XO Thames"/>
      <w:color w:val="000000"/>
      <w:spacing w:val="0"/>
      <w:sz w:val="28"/>
    </w:rPr>
  </w:style>
  <w:style w:styleId="Style_16" w:type="paragraph">
    <w:name w:val="Верхний колонтитул11"/>
    <w:basedOn w:val="Style_2"/>
    <w:link w:val="Style_16_ch"/>
    <w:pPr>
      <w:tabs>
        <w:tab w:leader="none" w:pos="720" w:val="clear"/>
        <w:tab w:leader="none" w:pos="4819" w:val="center"/>
        <w:tab w:leader="none" w:pos="9638" w:val="right"/>
      </w:tabs>
      <w:ind/>
    </w:pPr>
  </w:style>
  <w:style w:styleId="Style_16_ch" w:type="character">
    <w:name w:val="Верхний колонтитул11"/>
    <w:basedOn w:val="Style_2_ch"/>
    <w:link w:val="Style_16"/>
  </w:style>
  <w:style w:styleId="Style_17" w:type="paragraph">
    <w:name w:val="toc 7"/>
    <w:next w:val="Style_2"/>
    <w:link w:val="Style_17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7_ch" w:type="character">
    <w:name w:val="toc 7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Contents 8"/>
    <w:link w:val="Style_18_ch"/>
    <w:rPr>
      <w:rFonts w:ascii="XO Thames" w:hAnsi="XO Thames"/>
      <w:sz w:val="28"/>
    </w:rPr>
  </w:style>
  <w:style w:styleId="Style_18_ch" w:type="character">
    <w:name w:val="Contents 8"/>
    <w:link w:val="Style_18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9" w:type="paragraph">
    <w:name w:val="Contents 1"/>
    <w:link w:val="Style_19_ch"/>
    <w:rPr>
      <w:rFonts w:ascii="XO Thames" w:hAnsi="XO Thames"/>
      <w:b w:val="1"/>
      <w:sz w:val="28"/>
    </w:rPr>
  </w:style>
  <w:style w:styleId="Style_19_ch" w:type="character">
    <w:name w:val="Contents 1"/>
    <w:link w:val="Style_19"/>
    <w:rPr>
      <w:rFonts w:ascii="XO Thames" w:hAnsi="XO Thames"/>
      <w:b w:val="1"/>
      <w:sz w:val="28"/>
    </w:rPr>
  </w:style>
  <w:style w:styleId="Style_20" w:type="paragraph">
    <w:name w:val="Заголовок11"/>
    <w:basedOn w:val="Style_2"/>
    <w:next w:val="Style_5"/>
    <w:link w:val="Style_20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0_ch" w:type="character">
    <w:name w:val="Заголовок11"/>
    <w:basedOn w:val="Style_2_ch"/>
    <w:link w:val="Style_20"/>
    <w:rPr>
      <w:rFonts w:ascii="Liberation Sans" w:hAnsi="Liberation Sans"/>
      <w:sz w:val="28"/>
    </w:rPr>
  </w:style>
  <w:style w:styleId="Style_21" w:type="paragraph">
    <w:name w:val="Heading 21"/>
    <w:link w:val="Style_21_ch"/>
    <w:rPr>
      <w:rFonts w:ascii="XO Thames" w:hAnsi="XO Thames"/>
      <w:b w:val="1"/>
      <w:sz w:val="28"/>
    </w:rPr>
  </w:style>
  <w:style w:styleId="Style_21_ch" w:type="character">
    <w:name w:val="Heading 21"/>
    <w:link w:val="Style_21"/>
    <w:rPr>
      <w:rFonts w:ascii="XO Thames" w:hAnsi="XO Thames"/>
      <w:b w:val="1"/>
      <w:sz w:val="28"/>
    </w:rPr>
  </w:style>
  <w:style w:styleId="Style_22" w:type="paragraph">
    <w:name w:val="End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Endnote"/>
    <w:link w:val="Style_22"/>
    <w:rPr>
      <w:rFonts w:ascii="XO Thames" w:hAnsi="XO Thames"/>
      <w:sz w:val="22"/>
    </w:rPr>
  </w:style>
  <w:style w:styleId="Style_23" w:type="paragraph">
    <w:name w:val="heading 3"/>
    <w:next w:val="Style_2"/>
    <w:link w:val="Style_2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23_ch" w:type="character">
    <w:name w:val="heading 3"/>
    <w:link w:val="Style_23"/>
    <w:rPr>
      <w:rFonts w:ascii="XO Thames" w:hAnsi="XO Thames"/>
      <w:b w:val="1"/>
      <w:color w:val="000000"/>
      <w:spacing w:val="0"/>
      <w:sz w:val="26"/>
    </w:rPr>
  </w:style>
  <w:style w:styleId="Style_24" w:type="paragraph">
    <w:name w:val="Heading 51"/>
    <w:link w:val="Style_24_ch"/>
    <w:rPr>
      <w:rFonts w:ascii="XO Thames" w:hAnsi="XO Thames"/>
      <w:b w:val="1"/>
      <w:sz w:val="22"/>
    </w:rPr>
  </w:style>
  <w:style w:styleId="Style_24_ch" w:type="character">
    <w:name w:val="Heading 51"/>
    <w:link w:val="Style_24"/>
    <w:rPr>
      <w:rFonts w:ascii="XO Thames" w:hAnsi="XO Thames"/>
      <w:b w:val="1"/>
      <w:sz w:val="22"/>
    </w:rPr>
  </w:style>
  <w:style w:styleId="Style_25" w:type="paragraph">
    <w:name w:val="Верхний колонтитул Знак1"/>
    <w:basedOn w:val="Style_26"/>
    <w:link w:val="Style_25_ch"/>
    <w:rPr>
      <w:rFonts w:ascii="Liberation Serif" w:hAnsi="Liberation Serif"/>
      <w:sz w:val="24"/>
    </w:rPr>
  </w:style>
  <w:style w:styleId="Style_25_ch" w:type="character">
    <w:name w:val="Верхний колонтитул Знак1"/>
    <w:basedOn w:val="Style_26_ch"/>
    <w:link w:val="Style_25"/>
    <w:rPr>
      <w:rFonts w:ascii="Liberation Serif" w:hAnsi="Liberation Serif"/>
      <w:sz w:val="24"/>
    </w:rPr>
  </w:style>
  <w:style w:styleId="Style_27" w:type="paragraph">
    <w:name w:val="Указатель11"/>
    <w:basedOn w:val="Style_2"/>
    <w:link w:val="Style_27_ch"/>
  </w:style>
  <w:style w:styleId="Style_27_ch" w:type="character">
    <w:name w:val="Указатель11"/>
    <w:basedOn w:val="Style_2_ch"/>
    <w:link w:val="Style_27"/>
  </w:style>
  <w:style w:styleId="Style_28" w:type="paragraph">
    <w:name w:val="НИР текст1"/>
    <w:basedOn w:val="Style_2"/>
    <w:link w:val="Style_28_ch"/>
    <w:pPr>
      <w:spacing w:line="360" w:lineRule="auto"/>
      <w:ind w:firstLine="709" w:left="0"/>
      <w:jc w:val="both"/>
    </w:pPr>
    <w:rPr>
      <w:rFonts w:ascii="Times New Roman" w:hAnsi="Times New Roman"/>
    </w:rPr>
  </w:style>
  <w:style w:styleId="Style_28_ch" w:type="character">
    <w:name w:val="НИР текст1"/>
    <w:basedOn w:val="Style_2_ch"/>
    <w:link w:val="Style_28"/>
    <w:rPr>
      <w:rFonts w:ascii="Times New Roman" w:hAnsi="Times New Roman"/>
    </w:rPr>
  </w:style>
  <w:style w:styleId="Style_29" w:type="paragraph">
    <w:name w:val="Heading 41"/>
    <w:link w:val="Style_29_ch"/>
    <w:rPr>
      <w:rFonts w:ascii="XO Thames" w:hAnsi="XO Thames"/>
      <w:b w:val="1"/>
      <w:sz w:val="24"/>
    </w:rPr>
  </w:style>
  <w:style w:styleId="Style_29_ch" w:type="character">
    <w:name w:val="Heading 41"/>
    <w:link w:val="Style_29"/>
    <w:rPr>
      <w:rFonts w:ascii="XO Thames" w:hAnsi="XO Thames"/>
      <w:b w:val="1"/>
      <w:sz w:val="24"/>
    </w:rPr>
  </w:style>
  <w:style w:styleId="Style_26" w:type="paragraph">
    <w:name w:val="Default Paragraph Font1"/>
    <w:link w:val="Style_2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6_ch" w:type="character">
    <w:name w:val="Default Paragraph Font1"/>
    <w:link w:val="Style_26"/>
    <w:rPr>
      <w:rFonts w:ascii="Times New Roman" w:hAnsi="Times New Roman"/>
      <w:color w:val="000000"/>
      <w:spacing w:val="0"/>
      <w:sz w:val="20"/>
    </w:rPr>
  </w:style>
  <w:style w:styleId="Style_30" w:type="paragraph">
    <w:name w:val="Содержимое таблицы1"/>
    <w:basedOn w:val="Style_2"/>
    <w:link w:val="Style_30_ch"/>
    <w:pPr>
      <w:widowControl w:val="0"/>
      <w:ind/>
    </w:pPr>
  </w:style>
  <w:style w:styleId="Style_30_ch" w:type="character">
    <w:name w:val="Содержимое таблицы1"/>
    <w:basedOn w:val="Style_2_ch"/>
    <w:link w:val="Style_30"/>
  </w:style>
  <w:style w:styleId="Style_31" w:type="paragraph">
    <w:name w:val="Subtitle1"/>
    <w:link w:val="Style_31_ch"/>
    <w:rPr>
      <w:rFonts w:ascii="XO Thames" w:hAnsi="XO Thames"/>
      <w:i w:val="1"/>
      <w:sz w:val="24"/>
    </w:rPr>
  </w:style>
  <w:style w:styleId="Style_31_ch" w:type="character">
    <w:name w:val="Subtitle1"/>
    <w:link w:val="Style_31"/>
    <w:rPr>
      <w:rFonts w:ascii="XO Thames" w:hAnsi="XO Thames"/>
      <w:i w:val="1"/>
      <w:sz w:val="24"/>
    </w:rPr>
  </w:style>
  <w:style w:styleId="Style_32" w:type="paragraph">
    <w:name w:val="caption"/>
    <w:basedOn w:val="Style_2"/>
    <w:link w:val="Style_32_ch"/>
    <w:pPr>
      <w:spacing w:after="120" w:before="120"/>
      <w:ind/>
    </w:pPr>
    <w:rPr>
      <w:i w:val="1"/>
    </w:rPr>
  </w:style>
  <w:style w:styleId="Style_32_ch" w:type="character">
    <w:name w:val="caption"/>
    <w:basedOn w:val="Style_2_ch"/>
    <w:link w:val="Style_32"/>
    <w:rPr>
      <w:i w:val="1"/>
    </w:rPr>
  </w:style>
  <w:style w:styleId="Style_33" w:type="paragraph">
    <w:name w:val="Footer1"/>
    <w:link w:val="Style_33_ch"/>
  </w:style>
  <w:style w:styleId="Style_33_ch" w:type="character">
    <w:name w:val="Footer1"/>
    <w:link w:val="Style_33"/>
  </w:style>
  <w:style w:styleId="Style_34" w:type="paragraph">
    <w:name w:val="Header1"/>
    <w:link w:val="Style_34_ch"/>
  </w:style>
  <w:style w:styleId="Style_34_ch" w:type="character">
    <w:name w:val="Header1"/>
    <w:link w:val="Style_34"/>
  </w:style>
  <w:style w:styleId="Style_35" w:type="paragraph">
    <w:name w:val="Заголовок таблицы1"/>
    <w:basedOn w:val="Style_30"/>
    <w:link w:val="Style_35_ch"/>
    <w:pPr>
      <w:ind/>
      <w:jc w:val="center"/>
    </w:pPr>
    <w:rPr>
      <w:b w:val="1"/>
    </w:rPr>
  </w:style>
  <w:style w:styleId="Style_35_ch" w:type="character">
    <w:name w:val="Заголовок таблицы1"/>
    <w:basedOn w:val="Style_30_ch"/>
    <w:link w:val="Style_35"/>
    <w:rPr>
      <w:b w:val="1"/>
    </w:rPr>
  </w:style>
  <w:style w:styleId="Style_36" w:type="paragraph">
    <w:name w:val="Footnote1"/>
    <w:link w:val="Style_3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6_ch" w:type="character">
    <w:name w:val="Footnote1"/>
    <w:link w:val="Style_36"/>
    <w:rPr>
      <w:rFonts w:ascii="XO Thames" w:hAnsi="XO Thames"/>
      <w:color w:val="000000"/>
      <w:spacing w:val="0"/>
      <w:sz w:val="22"/>
    </w:rPr>
  </w:style>
  <w:style w:styleId="Style_37" w:type="paragraph">
    <w:name w:val="toc 3"/>
    <w:next w:val="Style_2"/>
    <w:link w:val="Style_37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7_ch" w:type="character">
    <w:name w:val="toc 3"/>
    <w:link w:val="Style_37"/>
    <w:rPr>
      <w:rFonts w:ascii="XO Thames" w:hAnsi="XO Thames"/>
      <w:color w:val="000000"/>
      <w:spacing w:val="0"/>
      <w:sz w:val="28"/>
    </w:rPr>
  </w:style>
  <w:style w:styleId="Style_38" w:type="paragraph">
    <w:name w:val="Index Heading1"/>
    <w:link w:val="Style_38_ch"/>
  </w:style>
  <w:style w:styleId="Style_38_ch" w:type="character">
    <w:name w:val="Index Heading1"/>
    <w:link w:val="Style_38"/>
  </w:style>
  <w:style w:styleId="Style_39" w:type="paragraph">
    <w:name w:val="Contents 7"/>
    <w:link w:val="Style_39_ch"/>
    <w:rPr>
      <w:rFonts w:ascii="XO Thames" w:hAnsi="XO Thames"/>
      <w:sz w:val="28"/>
    </w:rPr>
  </w:style>
  <w:style w:styleId="Style_39_ch" w:type="character">
    <w:name w:val="Contents 7"/>
    <w:link w:val="Style_39"/>
    <w:rPr>
      <w:rFonts w:ascii="XO Thames" w:hAnsi="XO Thames"/>
      <w:sz w:val="28"/>
    </w:rPr>
  </w:style>
  <w:style w:styleId="Style_40" w:type="paragraph">
    <w:name w:val="Contents 3"/>
    <w:link w:val="Style_40_ch"/>
    <w:rPr>
      <w:rFonts w:ascii="XO Thames" w:hAnsi="XO Thames"/>
      <w:sz w:val="28"/>
    </w:rPr>
  </w:style>
  <w:style w:styleId="Style_40_ch" w:type="character">
    <w:name w:val="Contents 3"/>
    <w:link w:val="Style_40"/>
    <w:rPr>
      <w:rFonts w:ascii="XO Thames" w:hAnsi="XO Thames"/>
      <w:sz w:val="28"/>
    </w:rPr>
  </w:style>
  <w:style w:styleId="Style_41" w:type="paragraph">
    <w:name w:val="footer"/>
    <w:basedOn w:val="Style_2"/>
    <w:link w:val="Style_4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41_ch" w:type="character">
    <w:name w:val="footer"/>
    <w:basedOn w:val="Style_2_ch"/>
    <w:link w:val="Style_41"/>
  </w:style>
  <w:style w:styleId="Style_42" w:type="paragraph">
    <w:name w:val="WW_CharLFO1LVL91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Wingdings" w:hAnsi="Wingdings"/>
      <w:color w:val="000000"/>
      <w:spacing w:val="0"/>
      <w:sz w:val="20"/>
    </w:rPr>
  </w:style>
  <w:style w:styleId="Style_42_ch" w:type="character">
    <w:name w:val="WW_CharLFO1LVL91"/>
    <w:link w:val="Style_42"/>
    <w:rPr>
      <w:rFonts w:ascii="Wingdings" w:hAnsi="Wingdings"/>
      <w:color w:val="000000"/>
      <w:spacing w:val="0"/>
      <w:sz w:val="20"/>
    </w:rPr>
  </w:style>
  <w:style w:styleId="Style_43" w:type="paragraph">
    <w:name w:val="heading 5"/>
    <w:next w:val="Style_2"/>
    <w:link w:val="Style_4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43_ch" w:type="character">
    <w:name w:val="heading 5"/>
    <w:link w:val="Style_43"/>
    <w:rPr>
      <w:rFonts w:ascii="XO Thames" w:hAnsi="XO Thames"/>
      <w:b w:val="1"/>
      <w:color w:val="000000"/>
      <w:spacing w:val="0"/>
      <w:sz w:val="22"/>
    </w:rPr>
  </w:style>
  <w:style w:styleId="Style_44" w:type="paragraph">
    <w:name w:val="Верхний и нижний колонтитулы1"/>
    <w:basedOn w:val="Style_2"/>
    <w:link w:val="Style_44_ch"/>
    <w:pPr>
      <w:tabs>
        <w:tab w:leader="none" w:pos="720" w:val="clear"/>
        <w:tab w:leader="none" w:pos="4819" w:val="center"/>
        <w:tab w:leader="none" w:pos="9638" w:val="right"/>
      </w:tabs>
      <w:ind/>
    </w:pPr>
  </w:style>
  <w:style w:styleId="Style_44_ch" w:type="character">
    <w:name w:val="Верхний и нижний колонтитулы1"/>
    <w:basedOn w:val="Style_2_ch"/>
    <w:link w:val="Style_44"/>
  </w:style>
  <w:style w:styleId="Style_45" w:type="paragraph">
    <w:name w:val="Heading 11"/>
    <w:link w:val="Style_45_ch"/>
    <w:rPr>
      <w:rFonts w:ascii="XO Thames" w:hAnsi="XO Thames"/>
      <w:b w:val="1"/>
      <w:sz w:val="32"/>
    </w:rPr>
  </w:style>
  <w:style w:styleId="Style_45_ch" w:type="character">
    <w:name w:val="Heading 11"/>
    <w:link w:val="Style_45"/>
    <w:rPr>
      <w:rFonts w:ascii="XO Thames" w:hAnsi="XO Thames"/>
      <w:b w:val="1"/>
      <w:sz w:val="32"/>
    </w:rPr>
  </w:style>
  <w:style w:styleId="Style_46" w:type="paragraph">
    <w:name w:val="heading 1"/>
    <w:next w:val="Style_2"/>
    <w:link w:val="Style_4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46_ch" w:type="character">
    <w:name w:val="heading 1"/>
    <w:link w:val="Style_46"/>
    <w:rPr>
      <w:rFonts w:ascii="XO Thames" w:hAnsi="XO Thames"/>
      <w:b w:val="1"/>
      <w:color w:val="000000"/>
      <w:spacing w:val="0"/>
      <w:sz w:val="32"/>
    </w:rPr>
  </w:style>
  <w:style w:styleId="Style_47" w:type="paragraph">
    <w:name w:val="List1"/>
    <w:basedOn w:val="Style_8"/>
    <w:link w:val="Style_47_ch"/>
  </w:style>
  <w:style w:styleId="Style_47_ch" w:type="character">
    <w:name w:val="List1"/>
    <w:basedOn w:val="Style_8_ch"/>
    <w:link w:val="Style_47"/>
  </w:style>
  <w:style w:styleId="Style_48" w:type="paragraph">
    <w:name w:val="Contents 4"/>
    <w:link w:val="Style_48_ch"/>
    <w:rPr>
      <w:rFonts w:ascii="XO Thames" w:hAnsi="XO Thames"/>
      <w:sz w:val="28"/>
    </w:rPr>
  </w:style>
  <w:style w:styleId="Style_48_ch" w:type="character">
    <w:name w:val="Contents 4"/>
    <w:link w:val="Style_48"/>
    <w:rPr>
      <w:rFonts w:ascii="XO Thames" w:hAnsi="XO Thames"/>
      <w:sz w:val="28"/>
    </w:rPr>
  </w:style>
  <w:style w:styleId="Style_49" w:type="paragraph">
    <w:name w:val="ConsPlusNormal1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6"/>
    </w:rPr>
  </w:style>
  <w:style w:styleId="Style_49_ch" w:type="character">
    <w:name w:val="ConsPlusNormal1"/>
    <w:link w:val="Style_49"/>
    <w:rPr>
      <w:rFonts w:ascii="Times New Roman" w:hAnsi="Times New Roman"/>
      <w:color w:val="000000"/>
      <w:spacing w:val="0"/>
      <w:sz w:val="26"/>
    </w:rPr>
  </w:style>
  <w:style w:styleId="Style_50" w:type="paragraph">
    <w:name w:val="Contents 9"/>
    <w:link w:val="Style_50_ch"/>
    <w:rPr>
      <w:rFonts w:ascii="XO Thames" w:hAnsi="XO Thames"/>
      <w:sz w:val="28"/>
    </w:rPr>
  </w:style>
  <w:style w:styleId="Style_50_ch" w:type="character">
    <w:name w:val="Contents 9"/>
    <w:link w:val="Style_50"/>
    <w:rPr>
      <w:rFonts w:ascii="XO Thames" w:hAnsi="XO Thames"/>
      <w:sz w:val="28"/>
    </w:rPr>
  </w:style>
  <w:style w:styleId="Style_51" w:type="paragraph">
    <w:name w:val="Hyperlink"/>
    <w:link w:val="Style_51_ch"/>
    <w:rPr>
      <w:color w:val="0000FF"/>
      <w:u w:val="single"/>
    </w:rPr>
  </w:style>
  <w:style w:styleId="Style_51_ch" w:type="character">
    <w:name w:val="Hyperlink"/>
    <w:link w:val="Style_51"/>
    <w:rPr>
      <w:color w:val="0000FF"/>
      <w:u w:val="single"/>
    </w:rPr>
  </w:style>
  <w:style w:styleId="Style_52" w:type="paragraph">
    <w:name w:val="Footnote"/>
    <w:link w:val="Style_52_ch"/>
    <w:pPr>
      <w:ind w:firstLine="851" w:left="0"/>
      <w:jc w:val="both"/>
    </w:pPr>
    <w:rPr>
      <w:rFonts w:ascii="XO Thames" w:hAnsi="XO Thames"/>
      <w:sz w:val="22"/>
    </w:rPr>
  </w:style>
  <w:style w:styleId="Style_52_ch" w:type="character">
    <w:name w:val="Footnote"/>
    <w:link w:val="Style_52"/>
    <w:rPr>
      <w:rFonts w:ascii="XO Thames" w:hAnsi="XO Thames"/>
      <w:sz w:val="22"/>
    </w:rPr>
  </w:style>
  <w:style w:styleId="Style_53" w:type="paragraph">
    <w:name w:val="toc 1"/>
    <w:next w:val="Style_2"/>
    <w:link w:val="Style_53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3_ch" w:type="character">
    <w:name w:val="toc 1"/>
    <w:link w:val="Style_53"/>
    <w:rPr>
      <w:rFonts w:ascii="XO Thames" w:hAnsi="XO Thames"/>
      <w:b w:val="1"/>
      <w:color w:val="000000"/>
      <w:spacing w:val="0"/>
      <w:sz w:val="28"/>
    </w:rPr>
  </w:style>
  <w:style w:styleId="Style_54" w:type="paragraph">
    <w:name w:val="WW_CharLFO1LVL51"/>
    <w:link w:val="Style_54_ch"/>
    <w:pPr>
      <w:widowControl w:val="1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54_ch" w:type="character">
    <w:name w:val="WW_CharLFO1LVL51"/>
    <w:link w:val="Style_54"/>
    <w:rPr>
      <w:rFonts w:ascii="Courier New" w:hAnsi="Courier New"/>
      <w:color w:val="000000"/>
      <w:spacing w:val="0"/>
      <w:sz w:val="20"/>
    </w:rPr>
  </w:style>
  <w:style w:styleId="Style_55" w:type="paragraph">
    <w:name w:val="Header and Footer"/>
    <w:link w:val="Style_55_ch"/>
    <w:pPr>
      <w:spacing w:line="240" w:lineRule="auto"/>
      <w:ind/>
      <w:jc w:val="both"/>
    </w:pPr>
    <w:rPr>
      <w:rFonts w:ascii="XO Thames" w:hAnsi="XO Thames"/>
      <w:sz w:val="28"/>
    </w:rPr>
  </w:style>
  <w:style w:styleId="Style_55_ch" w:type="character">
    <w:name w:val="Header and Footer"/>
    <w:link w:val="Style_55"/>
    <w:rPr>
      <w:rFonts w:ascii="XO Thames" w:hAnsi="XO Thames"/>
      <w:sz w:val="28"/>
    </w:rPr>
  </w:style>
  <w:style w:styleId="Style_56" w:type="paragraph">
    <w:name w:val="WW_CharLFO1LVL81"/>
    <w:link w:val="Style_56_ch"/>
    <w:pPr>
      <w:widowControl w:val="1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56_ch" w:type="character">
    <w:name w:val="WW_CharLFO1LVL81"/>
    <w:link w:val="Style_56"/>
    <w:rPr>
      <w:rFonts w:ascii="Courier New" w:hAnsi="Courier New"/>
      <w:color w:val="000000"/>
      <w:spacing w:val="0"/>
      <w:sz w:val="20"/>
    </w:rPr>
  </w:style>
  <w:style w:styleId="Style_57" w:type="paragraph">
    <w:name w:val="WW_CharLFO1LVL31"/>
    <w:link w:val="Style_57_ch"/>
    <w:pPr>
      <w:widowControl w:val="1"/>
      <w:spacing w:after="0" w:before="0" w:line="240" w:lineRule="auto"/>
      <w:ind w:firstLine="0" w:left="0" w:right="0"/>
      <w:jc w:val="left"/>
    </w:pPr>
    <w:rPr>
      <w:rFonts w:ascii="Wingdings" w:hAnsi="Wingdings"/>
      <w:color w:val="000000"/>
      <w:spacing w:val="0"/>
      <w:sz w:val="20"/>
    </w:rPr>
  </w:style>
  <w:style w:styleId="Style_57_ch" w:type="character">
    <w:name w:val="WW_CharLFO1LVL31"/>
    <w:link w:val="Style_57"/>
    <w:rPr>
      <w:rFonts w:ascii="Wingdings" w:hAnsi="Wingdings"/>
      <w:color w:val="000000"/>
      <w:spacing w:val="0"/>
      <w:sz w:val="20"/>
    </w:rPr>
  </w:style>
  <w:style w:styleId="Style_58" w:type="paragraph">
    <w:name w:val="Текст выноски Знак1"/>
    <w:basedOn w:val="Style_26"/>
    <w:link w:val="Style_58_ch"/>
    <w:rPr>
      <w:rFonts w:ascii="Tahoma" w:hAnsi="Tahoma"/>
      <w:sz w:val="16"/>
    </w:rPr>
  </w:style>
  <w:style w:styleId="Style_58_ch" w:type="character">
    <w:name w:val="Текст выноски Знак1"/>
    <w:basedOn w:val="Style_26_ch"/>
    <w:link w:val="Style_58"/>
    <w:rPr>
      <w:rFonts w:ascii="Tahoma" w:hAnsi="Tahoma"/>
      <w:sz w:val="16"/>
    </w:rPr>
  </w:style>
  <w:style w:styleId="Style_59" w:type="paragraph">
    <w:name w:val="Strong"/>
    <w:link w:val="Style_59_ch"/>
    <w:rPr>
      <w:b w:val="1"/>
    </w:rPr>
  </w:style>
  <w:style w:styleId="Style_59_ch" w:type="character">
    <w:name w:val="Strong"/>
    <w:link w:val="Style_59"/>
    <w:rPr>
      <w:b w:val="1"/>
    </w:rPr>
  </w:style>
  <w:style w:styleId="Style_60" w:type="paragraph">
    <w:name w:val="toc 9"/>
    <w:next w:val="Style_2"/>
    <w:link w:val="Style_60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60_ch" w:type="character">
    <w:name w:val="toc 9"/>
    <w:link w:val="Style_60"/>
    <w:rPr>
      <w:rFonts w:ascii="XO Thames" w:hAnsi="XO Thames"/>
      <w:color w:val="000000"/>
      <w:spacing w:val="0"/>
      <w:sz w:val="28"/>
    </w:rPr>
  </w:style>
  <w:style w:styleId="Style_61" w:type="paragraph">
    <w:name w:val="Название объекта11"/>
    <w:basedOn w:val="Style_2"/>
    <w:link w:val="Style_61_ch"/>
    <w:pPr>
      <w:spacing w:after="120" w:before="120"/>
      <w:ind/>
    </w:pPr>
    <w:rPr>
      <w:i w:val="1"/>
    </w:rPr>
  </w:style>
  <w:style w:styleId="Style_61_ch" w:type="character">
    <w:name w:val="Название объекта11"/>
    <w:basedOn w:val="Style_2_ch"/>
    <w:link w:val="Style_61"/>
    <w:rPr>
      <w:i w:val="1"/>
    </w:rPr>
  </w:style>
  <w:style w:styleId="Style_62" w:type="paragraph">
    <w:name w:val="Endnote1"/>
    <w:link w:val="Style_6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62_ch" w:type="character">
    <w:name w:val="Endnote1"/>
    <w:link w:val="Style_62"/>
    <w:rPr>
      <w:rFonts w:ascii="XO Thames" w:hAnsi="XO Thames"/>
      <w:color w:val="000000"/>
      <w:spacing w:val="0"/>
      <w:sz w:val="22"/>
    </w:rPr>
  </w:style>
  <w:style w:styleId="Style_63" w:type="paragraph">
    <w:name w:val="WW_CharLFO1LVL21"/>
    <w:link w:val="Style_63_ch"/>
    <w:pPr>
      <w:widowControl w:val="1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63_ch" w:type="character">
    <w:name w:val="WW_CharLFO1LVL21"/>
    <w:link w:val="Style_63"/>
    <w:rPr>
      <w:rFonts w:ascii="Courier New" w:hAnsi="Courier New"/>
      <w:color w:val="000000"/>
      <w:spacing w:val="0"/>
      <w:sz w:val="20"/>
    </w:rPr>
  </w:style>
  <w:style w:styleId="Style_64" w:type="paragraph">
    <w:name w:val="Caption1"/>
    <w:link w:val="Style_64_ch"/>
    <w:rPr>
      <w:i w:val="1"/>
    </w:rPr>
  </w:style>
  <w:style w:styleId="Style_64_ch" w:type="character">
    <w:name w:val="Caption1"/>
    <w:link w:val="Style_64"/>
    <w:rPr>
      <w:i w:val="1"/>
    </w:rPr>
  </w:style>
  <w:style w:styleId="Style_65" w:type="paragraph">
    <w:name w:val="toc 8"/>
    <w:next w:val="Style_2"/>
    <w:link w:val="Style_65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65_ch" w:type="character">
    <w:name w:val="toc 8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Основной текст (6) + 12 pt1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styleId="Style_66_ch" w:type="character">
    <w:name w:val="Основной текст (6) + 12 pt1"/>
    <w:link w:val="Style_66"/>
    <w:rPr>
      <w:rFonts w:ascii="Times New Roman" w:hAnsi="Times New Roman"/>
      <w:color w:val="000000"/>
      <w:spacing w:val="0"/>
      <w:sz w:val="24"/>
    </w:rPr>
  </w:style>
  <w:style w:styleId="Style_67" w:type="paragraph">
    <w:name w:val="Contents 5"/>
    <w:link w:val="Style_67_ch"/>
    <w:rPr>
      <w:rFonts w:ascii="XO Thames" w:hAnsi="XO Thames"/>
      <w:sz w:val="28"/>
    </w:rPr>
  </w:style>
  <w:style w:styleId="Style_67_ch" w:type="character">
    <w:name w:val="Contents 5"/>
    <w:link w:val="Style_67"/>
    <w:rPr>
      <w:rFonts w:ascii="XO Thames" w:hAnsi="XO Thames"/>
      <w:sz w:val="28"/>
    </w:rPr>
  </w:style>
  <w:style w:styleId="Style_68" w:type="paragraph">
    <w:name w:val="WW_CharLFO1LVL11"/>
    <w:link w:val="Style_68_ch"/>
    <w:pPr>
      <w:widowControl w:val="1"/>
      <w:spacing w:after="0" w:before="0" w:line="240" w:lineRule="auto"/>
      <w:ind w:firstLine="0" w:left="0" w:right="0"/>
      <w:jc w:val="left"/>
    </w:pPr>
    <w:rPr>
      <w:rFonts w:ascii="Symbol" w:hAnsi="Symbol"/>
      <w:color w:val="000000"/>
      <w:spacing w:val="0"/>
      <w:sz w:val="20"/>
    </w:rPr>
  </w:style>
  <w:style w:styleId="Style_68_ch" w:type="character">
    <w:name w:val="WW_CharLFO1LVL11"/>
    <w:link w:val="Style_68"/>
    <w:rPr>
      <w:rFonts w:ascii="Symbol" w:hAnsi="Symbol"/>
      <w:color w:val="000000"/>
      <w:spacing w:val="0"/>
      <w:sz w:val="20"/>
    </w:rPr>
  </w:style>
  <w:style w:styleId="Style_69" w:type="paragraph">
    <w:name w:val="toc 5"/>
    <w:next w:val="Style_2"/>
    <w:link w:val="Style_69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69_ch" w:type="character">
    <w:name w:val="toc 5"/>
    <w:link w:val="Style_69"/>
    <w:rPr>
      <w:rFonts w:ascii="XO Thames" w:hAnsi="XO Thames"/>
      <w:color w:val="000000"/>
      <w:spacing w:val="0"/>
      <w:sz w:val="28"/>
    </w:rPr>
  </w:style>
  <w:style w:styleId="Style_70" w:type="paragraph">
    <w:name w:val="WW_CharLFO1LVL71"/>
    <w:link w:val="Style_70_ch"/>
    <w:pPr>
      <w:widowControl w:val="1"/>
      <w:spacing w:after="0" w:before="0" w:line="240" w:lineRule="auto"/>
      <w:ind w:firstLine="0" w:left="0" w:right="0"/>
      <w:jc w:val="left"/>
    </w:pPr>
    <w:rPr>
      <w:rFonts w:ascii="Symbol" w:hAnsi="Symbol"/>
      <w:color w:val="000000"/>
      <w:spacing w:val="0"/>
      <w:sz w:val="20"/>
    </w:rPr>
  </w:style>
  <w:style w:styleId="Style_70_ch" w:type="character">
    <w:name w:val="WW_CharLFO1LVL71"/>
    <w:link w:val="Style_70"/>
    <w:rPr>
      <w:rFonts w:ascii="Symbol" w:hAnsi="Symbol"/>
      <w:color w:val="000000"/>
      <w:spacing w:val="0"/>
      <w:sz w:val="20"/>
    </w:rPr>
  </w:style>
  <w:style w:styleId="Style_71" w:type="paragraph">
    <w:name w:val="index heading"/>
    <w:basedOn w:val="Style_2"/>
    <w:link w:val="Style_71_ch"/>
  </w:style>
  <w:style w:styleId="Style_71_ch" w:type="character">
    <w:name w:val="index heading"/>
    <w:basedOn w:val="Style_2_ch"/>
    <w:link w:val="Style_71"/>
  </w:style>
  <w:style w:styleId="Style_72" w:type="paragraph">
    <w:name w:val="Contents 6"/>
    <w:link w:val="Style_72_ch"/>
    <w:rPr>
      <w:rFonts w:ascii="XO Thames" w:hAnsi="XO Thames"/>
      <w:sz w:val="28"/>
    </w:rPr>
  </w:style>
  <w:style w:styleId="Style_72_ch" w:type="character">
    <w:name w:val="Contents 6"/>
    <w:link w:val="Style_72"/>
    <w:rPr>
      <w:rFonts w:ascii="XO Thames" w:hAnsi="XO Thames"/>
      <w:sz w:val="28"/>
    </w:rPr>
  </w:style>
  <w:style w:styleId="Style_73" w:type="paragraph">
    <w:name w:val="WW_CharLFO1LVL41"/>
    <w:link w:val="Style_73_ch"/>
    <w:pPr>
      <w:widowControl w:val="1"/>
      <w:spacing w:after="0" w:before="0" w:line="240" w:lineRule="auto"/>
      <w:ind w:firstLine="0" w:left="0" w:right="0"/>
      <w:jc w:val="left"/>
    </w:pPr>
    <w:rPr>
      <w:rFonts w:ascii="Symbol" w:hAnsi="Symbol"/>
      <w:color w:val="000000"/>
      <w:spacing w:val="0"/>
      <w:sz w:val="20"/>
    </w:rPr>
  </w:style>
  <w:style w:styleId="Style_73_ch" w:type="character">
    <w:name w:val="WW_CharLFO1LVL41"/>
    <w:link w:val="Style_73"/>
    <w:rPr>
      <w:rFonts w:ascii="Symbol" w:hAnsi="Symbol"/>
      <w:color w:val="000000"/>
      <w:spacing w:val="0"/>
      <w:sz w:val="20"/>
    </w:rPr>
  </w:style>
  <w:style w:styleId="Style_74" w:type="paragraph">
    <w:name w:val="Internet link"/>
    <w:link w:val="Style_7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74_ch" w:type="character">
    <w:name w:val="Internet link"/>
    <w:link w:val="Style_74"/>
    <w:rPr>
      <w:rFonts w:ascii="Times New Roman" w:hAnsi="Times New Roman"/>
      <w:color w:val="0000FF"/>
      <w:spacing w:val="0"/>
      <w:sz w:val="20"/>
      <w:u w:val="single"/>
    </w:rPr>
  </w:style>
  <w:style w:styleId="Style_75" w:type="paragraph">
    <w:name w:val="Subtitle"/>
    <w:next w:val="Style_2"/>
    <w:link w:val="Style_75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75_ch" w:type="character">
    <w:name w:val="Subtitle"/>
    <w:link w:val="Style_75"/>
    <w:rPr>
      <w:rFonts w:ascii="XO Thames" w:hAnsi="XO Thames"/>
      <w:i w:val="1"/>
      <w:color w:val="000000"/>
      <w:spacing w:val="0"/>
      <w:sz w:val="24"/>
    </w:rPr>
  </w:style>
  <w:style w:styleId="Style_76" w:type="paragraph">
    <w:name w:val="Strong Emphasis"/>
    <w:link w:val="Style_7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76_ch" w:type="character">
    <w:name w:val="Strong Emphasis"/>
    <w:link w:val="Style_76"/>
    <w:rPr>
      <w:rFonts w:ascii="Times New Roman" w:hAnsi="Times New Roman"/>
      <w:b w:val="1"/>
      <w:color w:val="000000"/>
      <w:spacing w:val="0"/>
      <w:sz w:val="20"/>
    </w:rPr>
  </w:style>
  <w:style w:styleId="Style_77" w:type="paragraph">
    <w:name w:val="Нижний колонтитул Знак1"/>
    <w:basedOn w:val="Style_26"/>
    <w:link w:val="Style_77_ch"/>
    <w:rPr>
      <w:rFonts w:ascii="Liberation Serif" w:hAnsi="Liberation Serif"/>
      <w:sz w:val="24"/>
    </w:rPr>
  </w:style>
  <w:style w:styleId="Style_77_ch" w:type="character">
    <w:name w:val="Нижний колонтитул Знак1"/>
    <w:basedOn w:val="Style_26_ch"/>
    <w:link w:val="Style_77"/>
    <w:rPr>
      <w:rFonts w:ascii="Liberation Serif" w:hAnsi="Liberation Serif"/>
      <w:sz w:val="24"/>
    </w:rPr>
  </w:style>
  <w:style w:styleId="Style_78" w:type="paragraph">
    <w:name w:val="Title"/>
    <w:next w:val="Style_2"/>
    <w:link w:val="Style_78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78_ch" w:type="character">
    <w:name w:val="Title"/>
    <w:link w:val="Style_78"/>
    <w:rPr>
      <w:rFonts w:ascii="XO Thames" w:hAnsi="XO Thames"/>
      <w:b w:val="1"/>
      <w:caps w:val="1"/>
      <w:color w:val="000000"/>
      <w:spacing w:val="0"/>
      <w:sz w:val="40"/>
    </w:rPr>
  </w:style>
  <w:style w:styleId="Style_79" w:type="paragraph">
    <w:name w:val="heading 4"/>
    <w:next w:val="Style_2"/>
    <w:link w:val="Style_7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79_ch" w:type="character">
    <w:name w:val="heading 4"/>
    <w:link w:val="Style_79"/>
    <w:rPr>
      <w:rFonts w:ascii="XO Thames" w:hAnsi="XO Thames"/>
      <w:b w:val="1"/>
      <w:color w:val="000000"/>
      <w:spacing w:val="0"/>
      <w:sz w:val="24"/>
    </w:rPr>
  </w:style>
  <w:style w:styleId="Style_80" w:type="paragraph">
    <w:name w:val="heading 2"/>
    <w:next w:val="Style_2"/>
    <w:link w:val="Style_80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80_ch" w:type="character">
    <w:name w:val="heading 2"/>
    <w:link w:val="Style_80"/>
    <w:rPr>
      <w:rFonts w:ascii="XO Thames" w:hAnsi="XO Thames"/>
      <w:b w:val="1"/>
      <w:color w:val="000000"/>
      <w:spacing w:val="0"/>
      <w:sz w:val="28"/>
    </w:rPr>
  </w:style>
  <w:style w:styleId="Style_5" w:type="paragraph">
    <w:name w:val="Body Text"/>
    <w:basedOn w:val="Style_2"/>
    <w:link w:val="Style_5_ch"/>
    <w:pPr>
      <w:spacing w:after="140" w:before="0" w:line="288" w:lineRule="auto"/>
      <w:ind/>
    </w:pPr>
  </w:style>
  <w:style w:styleId="Style_5_ch" w:type="character">
    <w:name w:val="Body Text"/>
    <w:basedOn w:val="Style_2_ch"/>
    <w:link w:val="Style_5"/>
  </w:style>
  <w:style w:styleId="Style_81" w:type="paragraph">
    <w:name w:val="Balloon Text1"/>
    <w:basedOn w:val="Style_2"/>
    <w:link w:val="Style_81_ch"/>
    <w:rPr>
      <w:rFonts w:ascii="Tahoma" w:hAnsi="Tahoma"/>
      <w:sz w:val="16"/>
    </w:rPr>
  </w:style>
  <w:style w:styleId="Style_81_ch" w:type="character">
    <w:name w:val="Balloon Text1"/>
    <w:basedOn w:val="Style_2_ch"/>
    <w:link w:val="Style_81"/>
    <w:rPr>
      <w:rFonts w:ascii="Tahoma" w:hAnsi="Tahoma"/>
      <w:sz w:val="16"/>
    </w:rPr>
  </w:style>
  <w:style w:styleId="Style_82" w:type="paragraph">
    <w:name w:val="Contents 2"/>
    <w:link w:val="Style_82_ch"/>
    <w:rPr>
      <w:rFonts w:ascii="XO Thames" w:hAnsi="XO Thames"/>
      <w:sz w:val="28"/>
    </w:rPr>
  </w:style>
  <w:style w:styleId="Style_82_ch" w:type="character">
    <w:name w:val="Contents 2"/>
    <w:link w:val="Style_82"/>
    <w:rPr>
      <w:rFonts w:ascii="XO Thames" w:hAnsi="XO Thames"/>
      <w:sz w:val="28"/>
    </w:r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2026-09-30T09:19:22Z</dcterms:modified>
</cp:coreProperties>
</file>