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pPr>
            <w:r>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pPr>
            <w:r>
              <w:rPr/>
              <w:t>- № 44 ул. Зеленый лог,15 - пл. Носова, регистрационный номер маршрута в реестре муниципальных маршрутов регулярных перевозок города Магнитогорска автомобильным транспортом: № 27.</w:t>
            </w:r>
          </w:p>
          <w:p>
            <w:pPr>
              <w:pStyle w:val="Normal"/>
              <w:widowControl w:val="false"/>
              <w:tabs>
                <w:tab w:val="clear" w:pos="708"/>
                <w:tab w:val="left" w:pos="0" w:leader="none"/>
              </w:tabs>
              <w:ind w:firstLine="583" w:left="51"/>
              <w:jc w:val="both"/>
              <w:rPr/>
            </w:pPr>
            <w:r>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
        <w:tabs>
          <w:tab w:val="clear" w:pos="708"/>
          <w:tab w:val="left" w:pos="1134"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jc w:val="both"/>
        <w:rPr/>
      </w:pPr>
      <w:r>
        <w:rPr/>
        <w:t xml:space="preserve">Дата начала приема заявок на участие в открытом конкурсе: </w:t>
      </w:r>
      <w:r>
        <w:rPr>
          <w:u w:val="none"/>
        </w:rPr>
        <w:t>06.10.2025г</w:t>
      </w:r>
    </w:p>
    <w:p>
      <w:pPr>
        <w:pStyle w:val="Normal"/>
        <w:tabs>
          <w:tab w:val="clear" w:pos="708"/>
          <w:tab w:val="left" w:pos="1134" w:leader="none"/>
        </w:tabs>
        <w:ind w:firstLine="709"/>
        <w:jc w:val="both"/>
        <w:rPr/>
      </w:pPr>
      <w:r>
        <w:rPr/>
        <w:t xml:space="preserve">Дата окончания приема заявок на участие в открытом конкурсе: </w:t>
      </w:r>
    </w:p>
    <w:p>
      <w:pPr>
        <w:pStyle w:val="NoSpacing"/>
        <w:jc w:val="both"/>
        <w:rPr>
          <w:sz w:val="24"/>
        </w:rPr>
      </w:pPr>
      <w:r>
        <w:rPr>
          <w:sz w:val="24"/>
          <w:u w:val="none"/>
        </w:rPr>
        <w:t>05.11.2025г.,</w:t>
      </w:r>
      <w:r>
        <w:rPr>
          <w:sz w:val="24"/>
        </w:rPr>
        <w:t xml:space="preserve">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XO Thames" w:hAnsi="XO Thames"/>
          <w:u w:val="none"/>
        </w:rPr>
        <w:t>06.11.2025</w:t>
      </w:r>
      <w:r>
        <w:rPr>
          <w:rFonts w:ascii="XO Thames" w:hAnsi="XO Thames"/>
        </w:rPr>
        <w:t xml:space="preserve"> г</w:t>
      </w:r>
      <w:r>
        <w:rPr>
          <w:rFonts w:ascii="Times New Roman" w:hAnsi="Times New Roman"/>
        </w:rPr>
        <w:t xml:space="preserve">. в </w:t>
      </w:r>
      <w:r>
        <w:rPr>
          <w:rFonts w:ascii="Times New Roman" w:hAnsi="Times New Roman"/>
          <w:u w:val="single"/>
        </w:rPr>
        <w:t>13 часов 00 минут</w:t>
      </w:r>
      <w:r>
        <w:rPr>
          <w:rFonts w:ascii="Times New Roman" w:hAnsi="Times New Roman"/>
        </w:rPr>
        <w:t xml:space="preserve"> (время местное).</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jc w:val="center"/>
        <w:rPr>
          <w:b/>
        </w:rPr>
      </w:pPr>
      <w:r>
        <w:rPr>
          <w:b/>
        </w:rPr>
      </w:r>
    </w:p>
    <w:p>
      <w:pPr>
        <w:pStyle w:val="Normal"/>
        <w:numPr>
          <w:ilvl w:val="0"/>
          <w:numId w:val="1"/>
        </w:numPr>
        <w:tabs>
          <w:tab w:val="clear" w:pos="708"/>
          <w:tab w:val="left" w:pos="1134" w:leader="none"/>
        </w:tabs>
        <w:ind w:firstLine="709" w:lef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3"/>
        <w:numPr>
          <w:ilvl w:val="0"/>
          <w:numId w:val="1"/>
        </w:numPr>
        <w:tabs>
          <w:tab w:val="clear" w:pos="1209"/>
          <w:tab w:val="left" w:pos="360" w:leader="none"/>
          <w:tab w:val="left" w:pos="1134" w:leader="none"/>
          <w:tab w:val="left" w:pos="1620" w:leader="none"/>
        </w:tabs>
        <w:ind w:firstLine="709" w:lef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jc w:val="both"/>
        <w:rPr/>
      </w:pPr>
      <w:r>
        <w:rPr>
          <w:rFonts w:ascii="Times New Roman" w:hAnsi="Times New Roman"/>
        </w:rPr>
        <w:t>Дата рассмотрения заявок на участие в открытом конкурсе: 13.11.2025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jc w:val="both"/>
        <w:rPr>
          <w:rFonts w:ascii="Times New Roman" w:hAnsi="Times New Roman"/>
        </w:rPr>
      </w:pPr>
      <w:r>
        <w:rPr>
          <w:rFonts w:ascii="Times New Roman" w:hAnsi="Times New Roman"/>
        </w:rPr>
        <w:t>Дата оценки и сопоставления заявок на участие в открытом конкурсе: 06.08.2025 г.</w:t>
      </w:r>
    </w:p>
    <w:p>
      <w:pPr>
        <w:pStyle w:val="Normal"/>
        <w:numPr>
          <w:ilvl w:val="0"/>
          <w:numId w:val="1"/>
        </w:numPr>
        <w:tabs>
          <w:tab w:val="clear" w:pos="708"/>
          <w:tab w:val="left" w:pos="567" w:leader="none"/>
          <w:tab w:val="left" w:pos="1134" w:leader="none"/>
          <w:tab w:val="left" w:pos="1701" w:leader="none"/>
        </w:tabs>
        <w:ind w:firstLine="709" w:lef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jc w:val="both"/>
        <w:rPr/>
      </w:pPr>
      <w:r>
        <w:rPr/>
      </w:r>
    </w:p>
    <w:p>
      <w:pPr>
        <w:pStyle w:val="Normal"/>
        <w:tabs>
          <w:tab w:val="clear" w:pos="708"/>
          <w:tab w:val="left" w:pos="567" w:leader="none"/>
          <w:tab w:val="left" w:pos="1134" w:leader="none"/>
        </w:tabs>
        <w:ind w:firstLine="709"/>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
        <w:numPr>
          <w:ilvl w:val="0"/>
          <w:numId w:val="1"/>
        </w:numPr>
        <w:tabs>
          <w:tab w:val="clear" w:pos="708"/>
          <w:tab w:val="left" w:pos="993" w:leader="none"/>
        </w:tabs>
        <w:spacing w:before="0" w:after="0"/>
        <w:ind w:firstLine="426" w:lef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0"/>
        <w:gridCol w:w="1550"/>
        <w:gridCol w:w="1471"/>
        <w:gridCol w:w="1422"/>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Протяженность маршрута регулярных перевозок, км</w:t>
            </w:r>
          </w:p>
        </w:tc>
        <w:tc>
          <w:tcPr>
            <w:tcW w:w="167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Порядок посадки и высадки пассажиров</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и класс транспортных средств / максимальное количество транспортных средств (единиц)</w:t>
            </w:r>
          </w:p>
        </w:tc>
        <w:tc>
          <w:tcPr>
            <w:tcW w:w="14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27</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44</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ост. "ул. Жемчужная, 19" - ост. "РИС"</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widowControl w:val="false"/>
              <w:jc w:val="center"/>
              <w:rPr>
                <w:sz w:val="16"/>
              </w:rPr>
            </w:pPr>
            <w:r>
              <w:rPr>
                <w:sz w:val="16"/>
              </w:rPr>
              <w:t xml:space="preserve"> </w:t>
            </w:r>
            <w:r>
              <w:rPr>
                <w:sz w:val="16"/>
                <w:u w:val="single"/>
              </w:rPr>
              <w:t>Обратное направление:</w:t>
            </w:r>
            <w:r>
              <w:rPr>
                <w:sz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sz w:val="16"/>
              </w:rPr>
              <w:t>ул. Зеленый лог - ул. Советская - ул. Труда - пр. Карла Маркса - ул. Грязнова - Южный переход - ул. Зеленцова - Центральный переход</w:t>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sz w:val="16"/>
              </w:rPr>
              <w:t>Центральный переход - ул. Зеленцова - Южный переход - ул. Грязнова - пр. Карла Маркса - ул. Труда - ул. Советская - ул. Зеленый лог</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Прямое направление: 15,7</w:t>
            </w:r>
          </w:p>
          <w:p>
            <w:pPr>
              <w:pStyle w:val="Normal"/>
              <w:widowControl w:val="false"/>
              <w:jc w:val="center"/>
              <w:rPr>
                <w:sz w:val="16"/>
              </w:rPr>
            </w:pPr>
            <w:r>
              <w:rPr>
                <w:sz w:val="16"/>
              </w:rPr>
              <w:t>Обратное направление: 15,7</w:t>
            </w:r>
          </w:p>
        </w:tc>
        <w:tc>
          <w:tcPr>
            <w:tcW w:w="167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0"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8</w:t>
            </w:r>
          </w:p>
        </w:tc>
        <w:tc>
          <w:tcPr>
            <w:tcW w:w="14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44</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44</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27</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rPr>
              <w:t>ул. Зеленый лог,15 - пл. Носова</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Прямое направление: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jc w:val="center"/>
              <w:rPr>
                <w:sz w:val="14"/>
              </w:rPr>
            </w:pPr>
            <w:r>
              <w:rPr>
                <w:sz w:val="16"/>
                <w:u w:val="single"/>
              </w:rPr>
              <w:t>Обратное направление</w:t>
            </w:r>
            <w:r>
              <w:rPr>
                <w:sz w:val="16"/>
              </w:rPr>
              <w:t>: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8</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44)</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27"/>
        <w:gridCol w:w="1233"/>
        <w:gridCol w:w="1434"/>
        <w:gridCol w:w="1425"/>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25"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spacing w:before="120" w:after="120"/>
              <w:ind w:left="120" w:right="120"/>
              <w:jc w:val="center"/>
              <w:rPr>
                <w:sz w:val="16"/>
              </w:rPr>
            </w:pPr>
            <w:r>
              <w:rPr>
                <w:sz w:val="16"/>
                <w:u w:val="single"/>
              </w:rPr>
              <w:t>Обратное направление:</w:t>
            </w:r>
            <w:r>
              <w:rPr>
                <w:sz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07:00</w:t>
            </w:r>
          </w:p>
          <w:p>
            <w:pPr>
              <w:pStyle w:val="Normal"/>
              <w:widowControl w:val="false"/>
              <w:jc w:val="center"/>
              <w:rPr>
                <w:sz w:val="20"/>
              </w:rPr>
            </w:pPr>
            <w:r>
              <w:rPr>
                <w:sz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07:00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9:00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09:00</w:t>
            </w:r>
          </w:p>
          <w:p>
            <w:pPr>
              <w:pStyle w:val="Normal"/>
              <w:widowControl w:val="false"/>
              <w:jc w:val="center"/>
              <w:rPr>
                <w:sz w:val="20"/>
              </w:rPr>
            </w:pPr>
            <w:r>
              <w:rPr>
                <w:sz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p>
            <w:pPr>
              <w:pStyle w:val="Normal"/>
              <w:widowControl w:val="false"/>
              <w:jc w:val="center"/>
              <w:rPr>
                <w:sz w:val="20"/>
              </w:rPr>
            </w:pPr>
            <w:r>
              <w:rPr>
                <w:sz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p>
            <w:pPr>
              <w:pStyle w:val="Normal"/>
              <w:widowControl w:val="false"/>
              <w:jc w:val="center"/>
              <w:rPr>
                <w:sz w:val="20"/>
              </w:rPr>
            </w:pPr>
            <w:r>
              <w:rPr>
                <w:sz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22:00</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2"/>
          <w:headerReference w:type="first" r:id="rId13"/>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W w:w="10178"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пп/п</w:t>
            </w:r>
          </w:p>
          <w:p>
            <w:pPr>
              <w:pStyle w:val="ConsPlusNormal1"/>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sz w:val="24"/>
              </w:rPr>
            </w:pPr>
            <w:r>
              <w:rPr>
                <w:rFonts w:ascii="Times New Roman" w:hAnsi="Times New Roman"/>
                <w:sz w:val="24"/>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w:t>
            </w:r>
          </w:p>
          <w:p>
            <w:pPr>
              <w:pStyle w:val="Normal"/>
              <w:widowControl w:val="false"/>
              <w:jc w:val="center"/>
              <w:rPr/>
            </w:pPr>
            <w:r>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jc w:val="both"/>
              <w:rPr>
                <w:rFonts w:ascii="Times New Roman" w:hAnsi="Times New Roman"/>
                <w:sz w:val="24"/>
              </w:rPr>
            </w:pPr>
            <w:hyperlink w:anchor="P67">
              <w:r>
                <w:rPr>
                  <w:rStyle w:val="Style"/>
                  <w:rFonts w:ascii="Times New Roman" w:hAnsi="Times New Roman"/>
                  <w:color w:val="0000FF"/>
                  <w:sz w:val="24"/>
                </w:rPr>
                <w:t>Пункт 1</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2</w:t>
            </w:r>
          </w:p>
          <w:p>
            <w:pPr>
              <w:pStyle w:val="Normal"/>
              <w:widowControl w:val="false"/>
              <w:jc w:val="center"/>
              <w:rPr/>
            </w:pPr>
            <w:r>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jc w:val="both"/>
              <w:rPr>
                <w:rFonts w:ascii="Times New Roman" w:hAnsi="Times New Roman"/>
                <w:sz w:val="24"/>
              </w:rPr>
            </w:pPr>
            <w:hyperlink w:anchor="P104">
              <w:r>
                <w:rPr>
                  <w:rStyle w:val="Style"/>
                  <w:rFonts w:ascii="Times New Roman" w:hAnsi="Times New Roman"/>
                  <w:color w:val="0000FF"/>
                  <w:sz w:val="24"/>
                </w:rPr>
                <w:t>Пункт 2</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w:t>
            </w:r>
          </w:p>
          <w:p>
            <w:pPr>
              <w:pStyle w:val="Normal"/>
              <w:widowControl w:val="false"/>
              <w:jc w:val="center"/>
              <w:rPr/>
            </w:pPr>
            <w:r>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jc w:val="both"/>
              <w:rPr>
                <w:rFonts w:ascii="Times New Roman" w:hAnsi="Times New Roman"/>
                <w:sz w:val="24"/>
              </w:rPr>
            </w:pPr>
            <w:hyperlink w:anchor="P153">
              <w:r>
                <w:rPr>
                  <w:rStyle w:val="Style"/>
                  <w:rFonts w:ascii="Times New Roman" w:hAnsi="Times New Roman"/>
                  <w:color w:val="0000FF"/>
                  <w:sz w:val="24"/>
                </w:rPr>
                <w:t>Пункт 3</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jc w:val="both"/>
              <w:rPr>
                <w:rFonts w:ascii="Times New Roman" w:hAnsi="Times New Roman"/>
                <w:sz w:val="24"/>
              </w:rPr>
            </w:pPr>
            <w:hyperlink w:anchor="P204">
              <w:r>
                <w:rPr>
                  <w:rStyle w:val="Style"/>
                  <w:rFonts w:ascii="Times New Roman" w:hAnsi="Times New Roman"/>
                  <w:color w:val="0000FF"/>
                  <w:sz w:val="24"/>
                </w:rPr>
                <w:t>Пункт 4</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21410" cy="592455"/>
                <wp:effectExtent l="0" t="0" r="0" b="0"/>
                <wp:docPr id="3" name="Picture 3"/>
                <a:graphic xmlns:a="http://schemas.openxmlformats.org/drawingml/2006/main">
                  <a:graphicData uri="http://schemas.microsoft.com/office/word/2010/wordprocessingGroup">
                    <wpg:wgp>
                      <wpg:cNvGrpSpPr/>
                      <wpg:grpSpPr>
                        <a:xfrm>
                          <a:off x="0" y="0"/>
                          <a:ext cx="1121400" cy="592560"/>
                          <a:chOff x="0" y="0"/>
                          <a:chExt cx="1121400" cy="592560"/>
                        </a:xfrm>
                      </wpg:grpSpPr>
                      <wps:wsp>
                        <wps:cNvPr id="4" name="Прямоугольник 1"/>
                        <wps:cNvSpPr/>
                        <wps:spPr>
                          <a:xfrm>
                            <a:off x="0" y="0"/>
                            <a:ext cx="1121400" cy="59256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2760" cy="49608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7400" cy="17280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7360" cy="40824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7840" cy="26172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4640" cy="26208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7pt;width:88.3pt;height:46.65pt" coordorigin="0,-934" coordsize="1766,933">
                <v:rect id="shape_0" ID="Прямоугольник 1" path="m0,0l-2147483645,0l-2147483645,-2147483646l0,-2147483646xe" stroked="f" o:allowincell="f" style="position:absolute;left:0;top:-934;width:1765;height:932;mso-wrap-style:none;v-text-anchor:middle;mso-position-vertical:top">
                  <v:fill o:detectmouseclick="t" on="false"/>
                  <v:stroke color="#3465a4" joinstyle="round" endcap="flat"/>
                  <w10:wrap type="square"/>
                </v:rect>
                <v:line id="shape_0" from="1033,-493" to="1563,-493"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4;width:476;height:780;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5;width:121;height:271;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8;width:467;height:642;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6;width:279;height:411;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43;width:211;height:412;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cPr>
          <w:p>
            <w:pPr>
              <w:pStyle w:val="ConsPlusNormal1"/>
              <w:rPr>
                <w:rFonts w:ascii="Times New Roman" w:hAnsi="Times New Roman"/>
                <w:sz w:val="24"/>
              </w:rPr>
            </w:pPr>
            <w:r>
              <w:rPr>
                <w:rFonts w:ascii="Times New Roman" w:hAnsi="Times New Roman"/>
                <w:sz w:val="24"/>
              </w:rPr>
              <w:t>Более 0,00 до 0,01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50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0,01 до 0,02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40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0,02 до 0,05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30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0,05 до 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20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0,1 до 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10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0,2</w:t>
            </w:r>
          </w:p>
        </w:tc>
        <w:tc>
          <w:tcPr>
            <w:tcW w:w="1813" w:type="dxa"/>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5"/>
        <w:gridCol w:w="7313"/>
        <w:gridCol w:w="1651"/>
      </w:tblGrid>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4"/>
        <w:gridCol w:w="6186"/>
        <w:gridCol w:w="3361"/>
      </w:tblGrid>
      <w:tr>
        <w:trPr>
          <w:trHeight w:val="2813"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6"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1"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6"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left="-142"/>
        <w:rPr/>
      </w:pPr>
      <w:r>
        <w:rPr>
          <w:sz w:val="22"/>
        </w:rPr>
        <w:t xml:space="preserve">                                                                                                             </w:t>
      </w:r>
      <w:r>
        <w:rPr>
          <w:sz w:val="22"/>
        </w:rPr>
        <w:t>М.П.</w:t>
      </w:r>
    </w:p>
    <w:p>
      <w:pPr>
        <w:pStyle w:val="Normal"/>
        <w:ind w:left="-142"/>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left="-142"/>
        <w:rPr>
          <w:sz w:val="22"/>
        </w:rPr>
      </w:pPr>
      <w:r>
        <w:rPr>
          <w:sz w:val="22"/>
        </w:rPr>
      </w:r>
    </w:p>
    <w:tbl>
      <w:tblPr>
        <w:tblW w:w="935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8"/>
        <w:gridCol w:w="6638"/>
        <w:gridCol w:w="983"/>
        <w:gridCol w:w="1149"/>
      </w:tblGrid>
      <w:tr>
        <w:trPr/>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6"/>
              </w:rPr>
            </w:pPr>
            <w:r>
              <w:rPr>
                <w:b/>
                <w:sz w:val="16"/>
              </w:rPr>
              <w:t xml:space="preserve">№ </w:t>
            </w:r>
            <w:r>
              <w:rPr>
                <w:b/>
                <w:sz w:val="16"/>
              </w:rPr>
              <w:t>п/п</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Документы и сведения</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Количество листов</w:t>
            </w:r>
          </w:p>
        </w:tc>
      </w:tr>
      <w:tr>
        <w:trPr>
          <w:trHeight w:val="58" w:hRule="atLeast"/>
        </w:trPr>
        <w:tc>
          <w:tcPr>
            <w:tcW w:w="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1</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131" w:hRule="atLeast"/>
        </w:trPr>
        <w:tc>
          <w:tcPr>
            <w:tcW w:w="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2</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w:t>
            </w:r>
          </w:p>
        </w:tc>
        <w:tc>
          <w:tcPr>
            <w:tcW w:w="66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23" w:hRule="atLeast"/>
        </w:trPr>
        <w:tc>
          <w:tcPr>
            <w:tcW w:w="5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n</w:t>
            </w:r>
          </w:p>
        </w:tc>
        <w:tc>
          <w:tcPr>
            <w:tcW w:w="66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16"/>
              </w:rPr>
            </w:pPr>
            <w:r>
              <w:rPr>
                <w:sz w:val="16"/>
              </w:rPr>
            </w:r>
          </w:p>
        </w:tc>
        <w:tc>
          <w:tcPr>
            <w:tcW w:w="9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2"/>
              </w:rPr>
            </w:pPr>
            <w:r>
              <w:rPr>
                <w:b/>
                <w:sz w:val="22"/>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w:t>
      </w:r>
      <w:bookmarkStart w:id="10" w:name="_GoBack"/>
      <w:bookmarkEnd w:id="10"/>
      <w:r>
        <w:rPr>
          <w:sz w:val="20"/>
        </w:rPr>
        <w:t xml:space="preserve">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left="-142"/>
        <w:rPr>
          <w:sz w:val="22"/>
        </w:rPr>
      </w:pPr>
      <w:r>
        <w:rPr>
          <w:sz w:val="22"/>
        </w:rPr>
      </w:r>
    </w:p>
    <w:p>
      <w:pPr>
        <w:pStyle w:val="Normal"/>
        <w:ind w:left="-142"/>
        <w:rPr>
          <w:sz w:val="22"/>
        </w:rPr>
      </w:pPr>
      <w:r>
        <w:rPr>
          <w:sz w:val="22"/>
        </w:rPr>
      </w:r>
    </w:p>
    <w:p>
      <w:pPr>
        <w:pStyle w:val="Normal"/>
        <w:keepNext w:val="true"/>
        <w:ind w:firstLine="708" w:left="3540"/>
        <w:jc w:val="right"/>
        <w:rPr/>
      </w:pPr>
      <w:r>
        <w:rPr/>
      </w:r>
    </w:p>
    <w:p>
      <w:pPr>
        <w:pStyle w:val="Normal"/>
        <w:ind w:left="-142"/>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2"/>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style>
  <w:style w:type="character" w:styleId="EndnoteReference">
    <w:name w:val="endnote reference"/>
    <w:rPr>
      <w:vertAlign w:val="superscript"/>
    </w:rPr>
  </w:style>
  <w:style w:type="paragraph" w:styleId="Style3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39">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numbering" w:styleId="Style4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LibreOffice/24.8.4.2$Linux_X86_64 LibreOffice_project/480$Build-2</Application>
  <AppVersion>15.0000</AppVersion>
  <Pages>25</Pages>
  <Words>6909</Words>
  <Characters>50581</Characters>
  <CharactersWithSpaces>59020</CharactersWithSpaces>
  <Paragraphs>534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dcterms:modified xsi:type="dcterms:W3CDTF">2025-10-07T16:29:02Z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