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выполнении мероприятий по регулированию выбросов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периоды НМУ за 3 квартал 2025 года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информации, Челябинского ЦГМС – ФГБУ «Уральское УГМС» во 2 квартале 2025 года администрацией города Магнитогорска было получено 11 предупреждений о наступлении периодов неблагоприятных метеорологических условий (далее – НМУ) 1 степени опасности. 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имеющимся в администрации города, в перечень юридических лиц г. Магнитогорска, которые в периоды НМУ должны проводить мероприятия по уменьшению выбросов вредных (загрязняющих) веществ в атмосферный воздух (далее Перечень) согласно проектам ПДВ и имеют согласованные планы мероприятий по уменьшению выбросов вредных (загрязняющих) веществ в атмосферный воздух в периоды НМУ, входят более 120 предприятий, из них у 30 предприятий в соответствии с согласованными Министерством экологии Челябинской области планами мероприятий по уменьшению выбросов вредных (загрязняющих) веществ в атмосферный воздух в периоды НМУ, снижение выбросов загрязняющих веществ в атмосферный воздух не предусмотрено.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предприятий ПАО «ММК», ООО «МЦОЗ», ООО «Шлаксервис», АО «МКХП-Ситно», ОАО «ММК – Метиз», ООО «Объединенная сервисная компания», ЗАО «ОВДО», ООО «Камелот», ООО «Интекс» одновременно с выполнением мероприятий по сокращению выбросов в атмосферный воздух в периоды НМУ предусмотрено выполнение производственного экологического контроля выбросов вредных веществ в периоды НМУ.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производственного контроля, проводимого лабораторией охраны атмосферного воздуха ПАО «ММК», периодически размещаются на сайте администрации города Магнитогорска.</w:t>
      </w:r>
    </w:p>
    <w:p>
      <w:pPr>
        <w:pStyle w:val="Normal"/>
        <w:ind w:left="0" w:right="0"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709"/>
        <w:jc w:val="center"/>
        <w:rPr>
          <w:b/>
          <w:sz w:val="28"/>
        </w:rPr>
      </w:pPr>
      <w:r>
        <w:rPr>
          <w:b/>
          <w:sz w:val="28"/>
        </w:rPr>
        <w:t>Информация о результатах выполнения мероприятий по регулированию выбросов в периоды НМУ 1 степени опасности</w:t>
      </w:r>
      <w:r>
        <w:rPr/>
        <w:t xml:space="preserve"> </w:t>
      </w:r>
      <w:r>
        <w:rPr>
          <w:b/>
          <w:sz w:val="28"/>
        </w:rPr>
        <w:t>предприятиями г. Магнитогорска, представившими отчет</w:t>
      </w:r>
    </w:p>
    <w:p>
      <w:pPr>
        <w:pStyle w:val="Normal"/>
        <w:ind w:left="0" w:right="0"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за 3</w:t>
      </w:r>
      <w:bookmarkStart w:id="0" w:name="_GoBack"/>
      <w:bookmarkEnd w:id="0"/>
      <w:r>
        <w:rPr>
          <w:b/>
          <w:sz w:val="28"/>
        </w:rPr>
        <w:t xml:space="preserve"> квартал 2025 года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hd w:fill="FFFF00" w:val="clear"/>
        </w:rPr>
      </w:pPr>
      <w:r>
        <w:rPr>
          <w:rFonts w:ascii="Times New Roman" w:hAnsi="Times New Roman"/>
          <w:sz w:val="28"/>
          <w:shd w:fill="FFFF00" w:val="clear"/>
        </w:rPr>
      </w:r>
    </w:p>
    <w:tbl>
      <w:tblPr>
        <w:tblW w:w="936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715"/>
        <w:gridCol w:w="6075"/>
      </w:tblGrid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п/п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Наименование предприятия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Результат выполнения мероприятий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ПАО «ММК»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В периоды НМУ 1 степени опасности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мероприятия по снижению выбросов загрязняющих веществ в атмосферный воздух выполнены в полном объеме, согласно протоколам контроля промышленных выбросов 13.09.2025, 21.09.2025, зафиксированы превышения значений ПДКм.р. на границе СЗЗ по веществам (взвешенные вещества, дигидросульфид).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Проведен лабораторный контроль выбросов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на ИЗА в КХП (Коксовые цеха № 1, № 2, № 3), в Аглоцехах ( КДИ), цехе РОФ (ДОФСР РОФ-2, РОФ-3, РОФ-4),  ЭСПЦ.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 xml:space="preserve">ООО «Механоремонтный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комплекс»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 xml:space="preserve">В период НМУ 1 степени опасности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проведены мероприятия в соответствии с утвержденным планом.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Эффективность снижения выбросов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определена расчетным методом.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ОАО «ММК-МЕТИЗ»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мероприятия по снижению выбросов выполнены в полном объеме согласно проекту нормативов ПДВ. Проведен лабораторный контроль на ИЗА №№ 0068, 0168. Производственный лабораторный контроль выбросов вредных веществ на ИЗА, превышений нормативных концентраций не выявил. Эффективность снижения выбросов загрязняющих веществ в атмосферный воздух в период НМУ определена расчетным методом в соответствии с РД 52.04.52-85 и составляет ориентировочно 15%.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выполненных мероприятий подтверждена протоколами лабораторных исследований.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«МЦОЗ»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Проведены лабораторные исследования содержания пыли в атмосферном воздухе на границе СЗЗ.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в период НМУ 1 степени составила от 21,5% до 88,1%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«Шлаксервис»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эффективность  снижения  выбросов подтверждена расчетным методом.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Производственный лабораторный контроль выбросов вредных веществ превышений нормативных концентраций не выявил.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«Огнеупор»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подтверждена расчетным методом и составила 15-20%.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МП трест «Водоканал»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определена расчетным методом и составила: от 20% до 100%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«Магнитогорский завод по производству и переработке стекла»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планом, с частичной остановкой работы оборудования. Эффективность снижения выбросов определена расчетным методом и составила по отдельным загрязняющим веществам: Na2CO3 - 25,7%; К2СО3 - 26,2%; NO2 - 18,69%; SiO2 - 29,43%..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hd w:fill="FFFF00" w:val="clear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ООО «Магнитогорский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птицеводческий комплекс»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В периоды НМУ 1 степени опасности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по снижению выбросов загрязняющих веществ в атмосферный воздух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выполнялись в полном объеме, в соответствии с утвержденным Планом.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Эффективность снижения выбросов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определена расчетным методом.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«Строительный комплекс»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выполнялись организационно-технические мероприятия по снижению выбросов загрязняющих веществ в атмосферный воздух без снижения мощности производства. Эффективность снижения выбросов определена расчетным методом и составила от 15% до 30%.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«Объединенная сервисная компания»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осуществлены мероприятия по снижению выбросов загрязняющих веществ в атмосферный воздух организационно-технического характера без существенного снижения мощности производства, с частичной приостановкой работы оборудования, позволяющие сократить выбросы загрязняющих веществ в атмосферный воздух на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АО «Соединительные отводы трубопроводов»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выполнены мероприятия по снижению выбросов загрязняющих веществ в атмосферный воздух, согласно разработанному плану мероприятий.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Снижение выбросов загрязняющих веществ от выполнения мероприятий составило 20-40%.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АО «Группа компаний «Российское молоко»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по снижению выбросов загрязняющих веществ в атмосферный воздух, предусмотренные согласованным планом. Эффективность снижения выбросов составила от 5% до 100%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ЗАО «Магнитогорский завод прокатных валков»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мероприятия по снижению выбросов загрязняющих веществ в атмосферный воздух, согласно утвержденному плану, что обеспечило снижение выбросов загрязняющих веществ на 15 %.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«НПЦ «Гальва»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 степени опасности выполнены мероприятия по снижению выбросов загрязняющих веществ в атмосферный воздух, согласно утвержденному плану, снижение выбросов загрязняющих веществ составило 15 %.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ОАО «Челябвтормет»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выполнены организационно-технические мероприятия по снижению выбросов загрязняющих веществ в атмосферный воздух в соответствии с согласованным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Снижение выбросов ЗВ составило от 20% до 100% по отдельным загрязняющим веществам и источникам выброса.</w:t>
            </w: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АО «МКХП-СИТНО»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  Эффективность снижения выбросов определена расчетным методом и составила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«Магнитогорский элеватор»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 Выполнена временная приостановка работы оборудования.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определена расчетным методом.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Производственное отделение «Магнитогорские электрические сети» филиала ПАО «Россети Урал» - «Челябэнерго»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при выполнении мероприятий в периоды НМУ 1 степени определена расчетным методом и составила  от 15% до 100% по отдельным ИЗА.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«Трест Магнитострой»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при выполнении мероприятий в периоды НМУ 1 степени определена расчетным методом и составила не менее от 5% до 100% по отдельным источникам выбросов.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«Ремпуть»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мероприятия  выполнялись в соответствии с утвержденным планом в полном объеме. Эффективность снижения выбросов определена расчетным методом и составила 15% по отдельным источникам выбросов.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ЗАО «ОВДО»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выполнены мероприятия по снижению выбросов загрязняющих веществ в атмосферный воздух, согласно утвержденному плану, что обеспечило снижение выбросов загрязняющих веществ от 1,53 % до 100% по отдельным загрязняющим веществам.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протоколом лабораторного исследования атмосферного воздуха на границе жилой зоны, проведенного в 3 кв. 2025 г. аккредитованной испытательной лабораторией.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«Эколайф»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 в полном объеме в соответствии  объявленным  режимом НМУ, эффективность выполняемых мероприятий составила - 100%.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«Камелот»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НМУ1 степени опасности мероприятия по снижению выбросов загрязняющих веществ в атмосферный воздух проводились в полном объеме в соответствии объявленными режимами НМУ.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выполняемых мероприятий составила: - в периоды НМУ 1 степени от 30% до 50%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«Фабрика Магнитогорская мебель»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объявленными  режимами НМУ.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выполняемых мероприятий при НМУ 1 степени составила от 15% до 100% по отдельным источникам выбросов.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«Лента»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по ЗВ составила – 100%  по загрязняющим веществам: пропаналь;  пентановая кислота; диметиламин.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«Компания Урал-Пласт»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составила –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«Интекс»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составила –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29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«АТМ-СПА+»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снижение выбросов определено расчетным методом и составляет при НМУ 1 степени – 14,1%.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«Торговый дом ММК»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Снижение выбросов определено расчетным методом и составляет –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ООО «ДОМ»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 xml:space="preserve">В периоды НМУ 1 степени опасности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 xml:space="preserve">по снижению выбросов загрязняющих веществ в атмосферный воздух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проводились в полном объеме в соответствии объявленным режимом НМУ.</w:t>
            </w:r>
          </w:p>
          <w:p>
            <w:pPr>
              <w:pStyle w:val="Normal"/>
              <w:widowControl w:val="false"/>
              <w:bidi w:val="0"/>
              <w:jc w:val="left"/>
              <w:rPr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Эффективность снижения выбросов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определена расчетным методом и составила от 25% до 50% по отдельным ИЗА.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Головацкая О.Н.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объеме. Сокращение выбросов в результате выполнения мероприятий составило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33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АО «Горэлектросеть»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Сокращение выбросов в результате выполнения мероприятий составило от 5% до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34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«Магнитогорскинвестстрой»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от 15% до 75%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35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МП «Магнитогорский городской транспорт»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5%.</w:t>
            </w:r>
          </w:p>
        </w:tc>
      </w:tr>
      <w:tr>
        <w:trPr>
          <w:trHeight w:val="29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«НОВАТЭК-АЗК»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от 15% до 96% по отдельным источникам выбрсов загрязняющих веществ.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«Спецкомплекс»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проводились организационные мероприятия по снижению выбросов  загрязняющих веществ в атмосферный воздух в соответствии с согласованным планом. Эффективность снижения выбросов составила 15%.</w:t>
            </w:r>
          </w:p>
        </w:tc>
      </w:tr>
      <w:tr>
        <w:trPr>
          <w:trHeight w:val="144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«Магистраль»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проводились организационные мероприятия по снижению выбросов загрязняющих веществ в атмосферный воздух в соответствии с согласованным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определена расчетным методом и составила - 15%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39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ООО «РЕЙДЕР»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В периоды НМУ 1 степени опасности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мероприятия по снижению выбросов загрязняющих веществ в атмосферный воздух выполнены в полном объеме, в соответствии с утвержденным планом.  В результате выполнения мероприятий эффективность снижения выбросов составила при НМУ 1 степени 15 %.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«Урал-Сервис-Групп»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проводились организационные мероприятия по снижению выбросов загрязняющих веществ в атмосферный воздух в соответствии с согласованным планом. Эффективность снижения выбросов составила 15 %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ЗАО «Лизинг капитал групп»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объявленными режимами НМУ, эффективность выполняемых мероприятий соответствует проведенным расчетам. Сокращение выбросов в результате выполнения мероприятий составило при НМУ 1 степени 5%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Магнитогорское ЛПУМГ -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Филиал ООО «Газпром трансгаз Екатеринбург» (ГРС-2), (ГРС-3), (ГРС-4)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В период НМУ 1 степени опасности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по снижению выбросов загрязняющих веществ в атмосферный воздух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 проводились в полном объеме в соответствии объявленными режимами НМУ.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Филиал ООО «Газпром трансгаз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Екатеринбург» -- Промплощадка Управления аварийно восстановительных работ № 2 в г. Магнитогорск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В период НМУ 1 степени опасности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по снижению выбросов загрязняющих веществ в атмосферный воздух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 проводились в полном объеме в соответствии объявленными режимами НМУ.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Эффективность снижения выбросов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определена расчетным методом и составила от 15% до 100% по отдельным ИЗА.</w:t>
            </w:r>
          </w:p>
        </w:tc>
      </w:tr>
      <w:tr>
        <w:trPr>
          <w:trHeight w:val="1897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«ЛУКОЙЛ-Уралнефтепродукт»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проводились организационные мероприятия не связанные со снижением производственной мощности оборудования, а также выбросов загрязняющих веществ в атмосферный воздух, в соответствии с согласованным планом. Эффективность снижения выбросов составила 10 %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«МагДомСтрой»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проводились организационные мероприятия, в соответствии с согласованным планом, не связанные со снижением производственной мощности оборудования.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ЗВ в атмосферный воздух определена расчетным методом и составила от 5% до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«Эмаль»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проводились организационные мероприятия по снижению выбросов загрязняющих веществ в атмосферный воздух в соответствии с согласованным планом. Эффективность снижения выбросов составила 15 % 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«УРАЛЬСКАЯ МЕТАЛЛООБРАБАТЫВАЮЩАЯ КОМПАНИЯ»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Мероприятия по снижению выбросов загрязняющих веществ в атмосферный воздух в периоды  НМУ 1 степени опасности выполнялись в полном объеме в соответствии с утвержденным планом. Эффективность снижения выбросов определена расчетным методом и составила от 15% до 100% по отдельным ИЗА.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«Объединение «Союзпищепром» (Магнитогорский товарный участок)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утвержденным планом.  Эффективность выполняемых мероприятий соответствует проведенным расчетам. Сокращение выбросов в результате выполнения мероприятий составило - 15%.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49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ОАО «Прокатмонтаж»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  <w:t xml:space="preserve"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утвержденным планом.  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ООО «МАГВТОРМЕТ»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  <w:shd w:fill="auto" w:val="clear"/>
              </w:rPr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  <w:t xml:space="preserve"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утвержденным планом.  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«ГЛОБАЛ»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«Башнефть-розница»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«Газпромнефть-Центр»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«Газпром газомоторное топливо»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100%.</w:t>
            </w:r>
          </w:p>
        </w:tc>
      </w:tr>
      <w:tr>
        <w:trPr>
          <w:trHeight w:val="307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ООО «Эксперт Упак»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В период НМУ 1 степени проводились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организационные мероприятия не связанные со снижением производственной мощности оборудования, а также выбросов ЗВ в атмосферный воздух, в соответствии с согласованным планом.</w:t>
            </w:r>
          </w:p>
        </w:tc>
      </w:tr>
      <w:tr>
        <w:trPr>
          <w:trHeight w:val="30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56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«Цинковые покрытия»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«Консерв-трейд»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полном объеме,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от выполнения мероприятий определена расчетным методом и составила: от 5% до 85%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58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УК «Логист»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 xml:space="preserve">В периоды НМУ 1 степени опасности проведены мероприятия по снижению выбросов загрязняющих веществ в атмосферный воздух в полном объеме, в соответствии с утвержденным планом и с объявленными режимами НМУ. </w:t>
              <w:br/>
              <w:t>Эффективность снижения выбросов определена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59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«КОРН»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 НМУ 1 степени опасности проводились организационные мероприятия, в соответствии с согласованным планом, не связанные со снижением производственной мощности оборудования.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Эффективность снижения выбросов ЗВ в атмосферный воздух определена расчетным методом и составила 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60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«ДОМ» (Магнитогорск, пр. Карла Маркса, д. 210)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61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Группа компаний «М-Стил»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проведены мероприятия по снижению выбросов 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62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«ИмперС»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</w:t>
            </w:r>
          </w:p>
        </w:tc>
      </w:tr>
      <w:tr>
        <w:trPr>
          <w:trHeight w:val="1384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 xml:space="preserve">ООО «ИНВЕСТАКТИВ»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объеме, эффективность снижения выбросов от выполнения мероприятий определена расчетным методом и составила 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 xml:space="preserve">ИП Исмеев Р.И.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5%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«Прогресс»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Производственное объединение «АгрегатМаш»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 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«Сфера-1»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выполнены мероприятия по снижению выбросов загрязняющих веществ в атмосферный воздух в соответствии с утвержденным планом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 снижения выбросов установлена расчетным методом и составила - 15%.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ГБУЗ "Станция скорой медицинской помощи г. Магнитогорск"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объявленными режимами НМУ.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69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«Магнитогорская энергетическая компания»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утвержденным планом. Эффективность снижения выбросов установлена расчетным методом и составила 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«Магнитогорский центральный рынок»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«МагХолод»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«Уралпротект»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«Магнитогорский литейно-штамповочный завод»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УК «ПА-чин»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АО «Металлург»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О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ОО «ММК —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>Индустриальный парк»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shd w:fill="auto" w:val="clear"/>
                <w:em w:val="none"/>
              </w:rPr>
              <w:t>В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shd w:fill="auto" w:val="clear"/>
                <w:em w:val="none"/>
              </w:rPr>
              <w:t xml:space="preserve"> периоды НМУ 1 степени опасности выполнены мероприятия организационно-технического характера в соответствии с утвержденным планом.</w:t>
            </w:r>
          </w:p>
          <w:p>
            <w:pPr>
              <w:pStyle w:val="Normal"/>
              <w:bidi w:val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Эффективность снижения выбросов загрязняющих веществ в атмосферный воздух определена расчетным методом и составила —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от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15%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до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100% по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 xml:space="preserve">отдельным источникам выбросов. 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«Энерго Системы Про»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мероприятия организационно-технического характера в соответствии с утвержденным планом. Эффективность снижения выбросов загрязняющих веществ в атмосферный воздух в периоды НМУ определена расчетным методом и составила 15%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«Алькор»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79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«Левага»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выполнялись мероприятия по снижению выбросов загрязняющих веществ в соответствии с утвержденным планом: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загрязняющих веществ в атмосферный воздух соответствует проведённым расчетам и составляет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80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Филиал ОАО «РЖД» Южно-Уральская дирекция по тепловодоснабжению, Котельная ТЧ-5 (ст. Магнитогорск)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10%.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81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Вербицкая Т.В.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составила - 20%.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82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«МАГНИТОГОРСКИЙ ЗАВОД ПРЕЦИЗИОННЫХ СЕТОК»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hd w:fill="auto" w:val="clear"/>
              </w:rPr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вредных веществ в атмосферный воздух определена расчетным методом и составила от 10% до 33%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83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РЕМОНТНО-МЕХАНИЧЕСКИЙ ЗАВОД «ЭНЕРГОПРОММЕТАЛЛ»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  <w:br/>
              <w:t xml:space="preserve">Эффективность снижения выбросов подтверждена расчетным методом составила от 36,08% до 100% по отдельным 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источникам загрязнения атмосферы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84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«ВторРесурс»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  <w:br/>
              <w:t xml:space="preserve">Эффективность снижения выбросов подтверждена расчетным методом составила от 36,08% до 100% по отдельным 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источникам загрязнения атмосферы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85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АО «Ситиматик»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Согласно представленным данным мероприятия выполнялись в полном объеме, в соответствии с утвержденным планом мероприятий. Эффективность снижения выбросов от выполнения мероприятий в период НМУ 1 степени опасности определена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86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Общество с ограниченной ответственностью «УРАЛСТРОЙСТАЛЬ»; ООО «МРК». Строительство цеха машиностроительной продукции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вредных веществ в атмосферный воздух определена расчетным методом и составила от 15% до 100% по отдельным ИЗА.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87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«Радуга вкуса»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Эффективность снижения выбросов подтверждена расчетным методом.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88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«Альтернатива»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вредных веществ в атмосферный воздух определена расчетным методом и составила 10%.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89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«Лазерная резка металла»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Неневоля П.А.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проводились организационные мероприятия не связанные со снижением производственной мощности оборудования, а также выбросов загрязняющих веществ в атмосферный воздух, в соответствии с согласованным планом.  Снижение выбросов от выполнения мероприятий в период НМУ 1 степени опасности не предусмотрено.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91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ЗАО «АВС Фарбен»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 xml:space="preserve"> периоды НМУ 1 степени опасности выполнены мероприятия организационного характера, не требующие снижения выбросов загрязняющих веществ в атмосферный воздух.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92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«УралЭнергоРесурс»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 xml:space="preserve"> периоды НМУ 1 степени опасности выполнены мероприятия организационного характера, не требующие снижения выбросов загрязняющих веществ в атмосферный воздух.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93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«Автобот»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АО «Работы Взрывные Специальные»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 НМУ 1 степени опасности проводились организационные мероприятия не связанные со снижением производственной мощности оборудования, а также выбросов ЗВ в атмосферный воздух, в соответствии с согласованным планом. Эффективность снижения выбросов опроеделена расчетным методом и составила от 5% до 15% по отдельным ИЗА.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ЗАО «МАГЛИН»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предприятия, в соответствии с согласованным планом мероприятий.</w:t>
            </w:r>
          </w:p>
        </w:tc>
      </w:tr>
      <w:tr>
        <w:trPr>
          <w:trHeight w:val="1237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Мищук Мария Анатольевна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Слюсарева Елена Петровна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Черкасов Евгений Анатольевич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99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«Полимеры Магнитки»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«Автотранспортное управление»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101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Паников А.В.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hd w:fill="auto" w:val="clear"/>
              </w:rPr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102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«Экспертиза»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103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«Семейный парк»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ООО «Торговый дом «Машиностроительный завод»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ИП Валов Е.В.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</w:rPr>
              <w:t>106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ООО «Строитель МП»</w:t>
            </w:r>
          </w:p>
        </w:tc>
        <w:tc>
          <w:tcPr>
            <w:tcW w:w="60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0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0"/>
                <w:shd w:fill="auto" w:val="clear"/>
                <w:lang w:val="ru-RU" w:eastAsia="zh-CN" w:bidi="hi-IN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</w:tbl>
    <w:p>
      <w:pPr>
        <w:pStyle w:val="Normal"/>
        <w:ind w:left="0" w:right="0" w:firstLine="708"/>
        <w:jc w:val="both"/>
        <w:rPr>
          <w:rFonts w:ascii="PT Astra Serif" w:hAnsi="PT Astra Serif" w:eastAsia="Tahoma" w:cs="Noto Sans Devanagari"/>
          <w:color w:val="000000"/>
          <w:spacing w:val="0"/>
          <w:kern w:val="0"/>
          <w:sz w:val="22"/>
          <w:szCs w:val="20"/>
          <w:highlight w:val="none"/>
          <w:shd w:fill="auto" w:val="clear"/>
          <w:lang w:val="ru-RU" w:eastAsia="zh-CN" w:bidi="hi-IN"/>
        </w:rPr>
      </w:pPr>
      <w:r>
        <w:rPr>
          <w:rFonts w:eastAsia="Tahoma" w:cs="Noto Sans Devanagari" w:ascii="PT Astra Serif" w:hAnsi="PT Astra Serif"/>
          <w:color w:val="000000"/>
          <w:spacing w:val="0"/>
          <w:kern w:val="0"/>
          <w:sz w:val="22"/>
          <w:szCs w:val="20"/>
          <w:shd w:fill="auto" w:val="clear"/>
          <w:lang w:val="ru-RU" w:eastAsia="zh-CN" w:bidi="hi-IN"/>
        </w:rPr>
      </w:r>
    </w:p>
    <w:p>
      <w:pPr>
        <w:pStyle w:val="Normal"/>
        <w:ind w:left="0" w:right="0" w:firstLine="708"/>
        <w:jc w:val="both"/>
        <w:rPr>
          <w:rFonts w:ascii="PT Astra Serif" w:hAnsi="PT Astra Serif" w:eastAsia="Tahoma" w:cs="Noto Sans Devanagari"/>
          <w:color w:val="000000"/>
          <w:spacing w:val="0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Tahoma" w:cs="Noto Sans Devanagari" w:ascii="PT Astra Serif" w:hAnsi="PT Astra Serif"/>
          <w:color w:val="000000"/>
          <w:spacing w:val="0"/>
          <w:kern w:val="0"/>
          <w:sz w:val="28"/>
          <w:szCs w:val="28"/>
          <w:shd w:fill="auto" w:val="clear"/>
          <w:lang w:val="ru-RU" w:eastAsia="zh-CN" w:bidi="hi-IN"/>
        </w:rPr>
      </w:r>
    </w:p>
    <w:p>
      <w:pPr>
        <w:pStyle w:val="Normal"/>
        <w:pageBreakBefore w:val="false"/>
        <w:jc w:val="center"/>
        <w:rPr>
          <w:rFonts w:ascii="PT Astra Serif" w:hAnsi="PT Astra Serif" w:eastAsia="Tahoma" w:cs="Noto Sans Devanagari"/>
          <w:color w:val="000000"/>
          <w:spacing w:val="0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Tahoma" w:cs="Noto Sans Devanagari" w:ascii="PT Astra Serif" w:hAnsi="PT Astra Serif"/>
          <w:color w:val="000000"/>
          <w:spacing w:val="0"/>
          <w:kern w:val="0"/>
          <w:sz w:val="28"/>
          <w:szCs w:val="28"/>
          <w:shd w:fill="auto" w:val="clear"/>
          <w:lang w:val="ru-RU" w:eastAsia="zh-CN" w:bidi="hi-IN"/>
        </w:rPr>
        <w:t>Информация о периодах наступления неблагоприятных метеорологических условий в 3 кв. 2025 г.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854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4"/>
        <w:gridCol w:w="2206"/>
      </w:tblGrid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pacing w:val="0"/>
                <w:kern w:val="0"/>
                <w:sz w:val="24"/>
                <w:szCs w:val="24"/>
              </w:rPr>
              <w:t>период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pacing w:val="0"/>
                <w:kern w:val="0"/>
                <w:sz w:val="24"/>
                <w:szCs w:val="24"/>
              </w:rPr>
              <w:t>степень НМУ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июль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19.00 — 14.07.2025 до 19.00 — 15.07.2025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18.00 — 17.07.2025 до 16.00 — 18.07.2025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02.00 — 20.07.2025 до 19.00 — 21.07.2025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19.00 — 21.07.2025 до 19.00 — 22.07.2025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19.00 — 24.07.2025 до 19.00 — 25.07.2025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19.00 — 25.07.2025 до 19.00 — 26.07.2025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 w:eastAsia="Tahoma" w:cs="Noto Sans Devanagari"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август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19.00 — 02.08.2025 до 19.00 — 03.08.2025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22.00 — 22.08.2025 до 12.00 — 25.08.2025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сентябрь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00.00 — 13.09.2025 до 19.00 — 15.09.2025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19.00 — 16.09.2025 до 19.00 — 18.09.2025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19.00 — 18.09.2025 до 11.00 — 21.09.2025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849" w:gutter="0" w:header="1134" w:top="1417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BookAntiqu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Contents3">
    <w:name w:val="Contents 3"/>
    <w:link w:val="Contents31"/>
    <w:qFormat/>
    <w:rPr>
      <w:rFonts w:ascii="XO Thames" w:hAnsi="XO Thames"/>
      <w:sz w:val="28"/>
    </w:rPr>
  </w:style>
  <w:style w:type="character" w:styleId="Footnote1">
    <w:name w:val="Footnote1"/>
    <w:link w:val="Footnote11"/>
    <w:qFormat/>
    <w:rPr>
      <w:rFonts w:ascii="XO Thames" w:hAnsi="XO Thames"/>
    </w:rPr>
  </w:style>
  <w:style w:type="character" w:styleId="Contents5">
    <w:name w:val="Contents 5"/>
    <w:link w:val="Contents51"/>
    <w:qFormat/>
    <w:rPr>
      <w:rFonts w:ascii="XO Thames" w:hAnsi="XO Thames"/>
      <w:sz w:val="28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HeaderandFooter1">
    <w:name w:val="Header and Footer1"/>
    <w:link w:val="HeaderandFooter11"/>
    <w:qFormat/>
    <w:rPr/>
  </w:style>
  <w:style w:type="character" w:styleId="Endnote1">
    <w:name w:val="Endnote1"/>
    <w:link w:val="Endnote11"/>
    <w:qFormat/>
    <w:rPr>
      <w:rFonts w:ascii="XO Thames" w:hAnsi="XO Thames"/>
    </w:rPr>
  </w:style>
  <w:style w:type="character" w:styleId="Endnote">
    <w:name w:val="Endnote"/>
    <w:link w:val="Endnote2"/>
    <w:qFormat/>
    <w:rPr>
      <w:rFonts w:ascii="XO Thames" w:hAnsi="XO Thames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1">
    <w:name w:val="Contents 1"/>
    <w:link w:val="Contents11"/>
    <w:qFormat/>
    <w:rPr>
      <w:rFonts w:ascii="XO Thames" w:hAnsi="XO Thames"/>
      <w:b/>
      <w:sz w:val="28"/>
    </w:rPr>
  </w:style>
  <w:style w:type="character" w:styleId="Fontstyle011">
    <w:name w:val="fontstyle011"/>
    <w:link w:val="Fontstyle0111"/>
    <w:qFormat/>
    <w:rPr>
      <w:rFonts w:ascii="BookAntiqua" w:hAnsi="BookAntiqua"/>
      <w:sz w:val="24"/>
    </w:rPr>
  </w:style>
  <w:style w:type="character" w:styleId="Textbody">
    <w:name w:val="Text body"/>
    <w:qFormat/>
    <w:rPr/>
  </w:style>
  <w:style w:type="character" w:styleId="Style9">
    <w:name w:val="Колонтитул"/>
    <w:link w:val="Style17"/>
    <w:qFormat/>
    <w:rPr>
      <w:rFonts w:ascii="XO Thames" w:hAnsi="XO Thames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HeaderandFooter2">
    <w:name w:val="Header and Footer2"/>
    <w:link w:val="HeaderandFooter21"/>
    <w:qFormat/>
    <w:rPr/>
  </w:style>
  <w:style w:type="character" w:styleId="Style10">
    <w:name w:val="Заголовок таблицы"/>
    <w:basedOn w:val="Style11"/>
    <w:qFormat/>
    <w:rPr>
      <w:b/>
    </w:rPr>
  </w:style>
  <w:style w:type="character" w:styleId="Internetlink">
    <w:name w:val="Internet link"/>
    <w:qFormat/>
    <w:rPr>
      <w:rFonts w:ascii="Calibri" w:hAnsi="Calibri"/>
      <w:color w:val="0563C1"/>
      <w:u w:val="single"/>
    </w:rPr>
  </w:style>
  <w:style w:type="character" w:styleId="11">
    <w:name w:val="Гиперссылка1"/>
    <w:link w:val="14"/>
    <w:qFormat/>
    <w:rPr>
      <w:color w:val="0563C1"/>
      <w:u w:val="single"/>
    </w:rPr>
  </w:style>
  <w:style w:type="character" w:styleId="DefaultParagraphFont">
    <w:name w:val="Default Paragraph Font"/>
    <w:link w:val="DefaultParagraphFont2"/>
    <w:qFormat/>
    <w:rPr/>
  </w:style>
  <w:style w:type="character" w:styleId="Contents8">
    <w:name w:val="Contents 8"/>
    <w:link w:val="Contents81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ListParagraph1">
    <w:name w:val="List Paragraph1"/>
    <w:link w:val="ListParagraph11"/>
    <w:qFormat/>
    <w:rPr>
      <w:rFonts w:ascii="Calibri" w:hAnsi="Calibri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11">
    <w:name w:val="Содержимое таблицы"/>
    <w:qFormat/>
    <w:rPr/>
  </w:style>
  <w:style w:type="character" w:styleId="Caption">
    <w:name w:val="caption"/>
    <w:link w:val="Caption1"/>
    <w:qFormat/>
    <w:rPr>
      <w:rFonts w:ascii="PT Astra Serif" w:hAnsi="PT Astra Serif"/>
      <w:i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</w:rPr>
  </w:style>
  <w:style w:type="character" w:styleId="Heading51">
    <w:name w:val="Heading 51"/>
    <w:link w:val="Heading511"/>
    <w:qFormat/>
    <w:rPr>
      <w:rFonts w:ascii="XO Thames" w:hAnsi="XO Thames"/>
      <w:b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DefaultParagraphFont1">
    <w:name w:val="Default Paragraph Font1"/>
    <w:link w:val="DefaultParagraphFont11"/>
    <w:qFormat/>
    <w:rPr/>
  </w:style>
  <w:style w:type="character" w:styleId="Contents9">
    <w:name w:val="Contents 9"/>
    <w:link w:val="Contents91"/>
    <w:qFormat/>
    <w:rPr>
      <w:rFonts w:ascii="XO Thames" w:hAnsi="XO Thames"/>
      <w:sz w:val="28"/>
    </w:rPr>
  </w:style>
  <w:style w:type="character" w:styleId="Header">
    <w:name w:val="Header"/>
    <w:basedOn w:val="Standard1"/>
    <w:qFormat/>
    <w:rPr/>
  </w:style>
  <w:style w:type="character" w:styleId="Standard1">
    <w:name w:val="Standard1"/>
    <w:link w:val="Standard11"/>
    <w:qFormat/>
    <w:rPr>
      <w:rFonts w:ascii="Liberation Serif" w:hAnsi="Liberation Serif"/>
      <w:sz w:val="24"/>
    </w:rPr>
  </w:style>
  <w:style w:type="character" w:styleId="Footer1">
    <w:name w:val="Footer1"/>
    <w:basedOn w:val="Standard1"/>
    <w:link w:val="Footer11"/>
    <w:qFormat/>
    <w:rPr/>
  </w:style>
  <w:style w:type="character" w:styleId="12">
    <w:name w:val="Заголовок1"/>
    <w:basedOn w:val="13"/>
    <w:link w:val="16"/>
    <w:qFormat/>
    <w:rPr>
      <w:rFonts w:ascii="PT Astra Serif" w:hAnsi="PT Astra Serif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13">
    <w:name w:val="Обычный1"/>
    <w:link w:val="17"/>
    <w:qFormat/>
    <w:rPr>
      <w:rFonts w:ascii="Liberation Serif" w:hAnsi="Liberation Serif"/>
      <w:color w:val="000000"/>
      <w:spacing w:val="0"/>
      <w:sz w:val="24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31">
    <w:name w:val="Heading 31"/>
    <w:link w:val="Heading311"/>
    <w:qFormat/>
    <w:rPr>
      <w:rFonts w:ascii="XO Thames" w:hAnsi="XO Thames"/>
      <w:b/>
      <w:sz w:val="26"/>
    </w:rPr>
  </w:style>
  <w:style w:type="character" w:styleId="Footer">
    <w:name w:val="Footer"/>
    <w:basedOn w:val="Standard1"/>
    <w:qFormat/>
    <w:rPr/>
  </w:style>
  <w:style w:type="character" w:styleId="Header1">
    <w:name w:val="Header1"/>
    <w:basedOn w:val="Standard1"/>
    <w:link w:val="Header11"/>
    <w:qFormat/>
    <w:rPr/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pPr>
      <w:widowControl/>
      <w:suppressAutoHyphens w:val="true"/>
      <w:overflowPunct w:val="false"/>
      <w:bidi w:val="0"/>
      <w:spacing w:lineRule="auto" w:line="264" w:before="0" w:after="16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pPr>
      <w:widowControl/>
      <w:suppressAutoHyphens w:val="true"/>
      <w:overflowPunct w:val="false"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">
    <w:name w:val="Contents 3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"/>
    <w:link w:val="Footnote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">
    <w:name w:val="Contents 5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pPr>
      <w:widowControl/>
      <w:suppressAutoHyphens w:val="true"/>
      <w:overflowPunct w:val="false"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pPr>
      <w:widowControl/>
      <w:suppressAutoHyphens w:val="true"/>
      <w:overflowPunct w:val="false"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1">
    <w:name w:val="Header and Footer1"/>
    <w:basedOn w:val="Normal"/>
    <w:link w:val="HeaderandFooter1"/>
    <w:qFormat/>
    <w:pPr/>
    <w:rPr/>
  </w:style>
  <w:style w:type="paragraph" w:styleId="Endnote11">
    <w:name w:val="Endnote1"/>
    <w:link w:val="Endnote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">
    <w:name w:val="Endnote"/>
    <w:qFormat/>
    <w:pPr>
      <w:widowControl/>
      <w:suppressAutoHyphens w:val="true"/>
      <w:overflowPunct w:val="fals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">
    <w:name w:val="Contents 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0111">
    <w:name w:val="fontstyle011"/>
    <w:link w:val="Fontstyle01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left"/>
    </w:pPr>
    <w:rPr>
      <w:rFonts w:ascii="BookAntiqua" w:hAnsi="BookAntiqua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Колонтитул"/>
    <w:link w:val="Style9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"/>
    <w:link w:val="Title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dexheading1">
    <w:name w:val="index heading"/>
    <w:basedOn w:val="Normal"/>
    <w:link w:val="Indexheading"/>
    <w:qFormat/>
    <w:pPr/>
    <w:rPr>
      <w:rFonts w:ascii="PT Astra Serif" w:hAnsi="PT Astra Serif"/>
    </w:rPr>
  </w:style>
  <w:style w:type="paragraph" w:styleId="31">
    <w:name w:val="TOC 3"/>
    <w:next w:val="Normal"/>
    <w:pPr>
      <w:widowControl/>
      <w:suppressAutoHyphens w:val="true"/>
      <w:overflowPunct w:val="false"/>
      <w:bidi w:val="0"/>
      <w:spacing w:lineRule="auto" w:line="264" w:before="0" w:after="16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"/>
    <w:link w:val="Heading4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21">
    <w:name w:val="Header and Footer2"/>
    <w:basedOn w:val="Normal"/>
    <w:link w:val="HeaderandFooter2"/>
    <w:qFormat/>
    <w:pPr/>
    <w:rPr/>
  </w:style>
  <w:style w:type="paragraph" w:styleId="Style18">
    <w:name w:val="Содержимое таблицы"/>
    <w:basedOn w:val="Normal"/>
    <w:qFormat/>
    <w:pPr>
      <w:widowControl w:val="false"/>
    </w:pPr>
    <w:rPr/>
  </w:style>
  <w:style w:type="paragraph" w:styleId="Style19">
    <w:name w:val="Заголовок таблицы"/>
    <w:basedOn w:val="Style18"/>
    <w:qFormat/>
    <w:pPr>
      <w:jc w:val="center"/>
    </w:pPr>
    <w:rPr>
      <w:b/>
    </w:rPr>
  </w:style>
  <w:style w:type="paragraph" w:styleId="Internetlink1">
    <w:name w:val="Internet link"/>
    <w:link w:val="Internetlink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4">
    <w:name w:val="Гиперссылка1"/>
    <w:link w:val="1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DefaultParagraphFont2">
    <w:name w:val="Default Paragraph Font"/>
    <w:link w:val="DefaultParagraphFont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">
    <w:name w:val="Contents 8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"/>
    <w:link w:val="Heading2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1">
    <w:name w:val="List Paragraph1"/>
    <w:basedOn w:val="Normal"/>
    <w:link w:val="ListParagraph1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Caption1">
    <w:name w:val="caption"/>
    <w:basedOn w:val="Normal"/>
    <w:link w:val="Caption"/>
    <w:qFormat/>
    <w:pPr>
      <w:spacing w:before="120" w:after="120"/>
    </w:pPr>
    <w:rPr>
      <w:rFonts w:ascii="PT Astra Serif" w:hAnsi="PT Astra Serif"/>
      <w:i/>
    </w:rPr>
  </w:style>
  <w:style w:type="paragraph" w:styleId="Footnote2">
    <w:name w:val="Footnote"/>
    <w:qFormat/>
    <w:pPr>
      <w:widowControl/>
      <w:suppressAutoHyphens w:val="true"/>
      <w:overflowPunct w:val="fals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TOC 1"/>
    <w:next w:val="Normal"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"/>
    <w:link w:val="Heading5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">
    <w:name w:val="Heading 11"/>
    <w:link w:val="Heading1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71">
    <w:name w:val="Contents 7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"/>
    <w:link w:val="DefaultParagraphFont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pPr>
      <w:widowControl/>
      <w:suppressAutoHyphens w:val="true"/>
      <w:overflowPunct w:val="false"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Header"/>
    <w:basedOn w:val="Standard11"/>
    <w:pPr/>
    <w:rPr/>
  </w:style>
  <w:style w:type="paragraph" w:styleId="Standard11">
    <w:name w:val="Standard1"/>
    <w:link w:val="Standard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oter11">
    <w:name w:val="Footer1"/>
    <w:basedOn w:val="Standard11"/>
    <w:link w:val="Footer1"/>
    <w:qFormat/>
    <w:pPr/>
    <w:rPr/>
  </w:style>
  <w:style w:type="paragraph" w:styleId="16">
    <w:name w:val="Заголовок1"/>
    <w:basedOn w:val="17"/>
    <w:link w:val="12"/>
    <w:qFormat/>
    <w:pPr/>
    <w:rPr>
      <w:rFonts w:ascii="PT Astra Serif" w:hAnsi="PT Astra Serif"/>
      <w:color w:val="000000"/>
      <w:spacing w:val="0"/>
      <w:sz w:val="28"/>
    </w:rPr>
  </w:style>
  <w:style w:type="paragraph" w:styleId="8">
    <w:name w:val="TOC 8"/>
    <w:next w:val="Normal"/>
    <w:pPr>
      <w:widowControl/>
      <w:suppressAutoHyphens w:val="true"/>
      <w:overflowPunct w:val="false"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pPr>
      <w:widowControl/>
      <w:suppressAutoHyphens w:val="true"/>
      <w:overflowPunct w:val="false"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">
    <w:name w:val="Contents 9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"/>
    <w:link w:val="Subtitle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7">
    <w:name w:val="Обычный1"/>
    <w:link w:val="13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">
    <w:name w:val="Subtitle"/>
    <w:next w:val="Normal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2">
    <w:name w:val="Title"/>
    <w:next w:val="Style13"/>
    <w:qFormat/>
    <w:pPr>
      <w:widowControl/>
      <w:suppressAutoHyphens w:val="true"/>
      <w:overflowPunct w:val="false"/>
      <w:bidi w:val="0"/>
      <w:spacing w:lineRule="auto" w:line="264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311">
    <w:name w:val="Heading 31"/>
    <w:link w:val="Heading3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tyle23">
    <w:name w:val="Footer"/>
    <w:basedOn w:val="Standard11"/>
    <w:pPr/>
    <w:rPr/>
  </w:style>
  <w:style w:type="paragraph" w:styleId="Header11">
    <w:name w:val="Header1"/>
    <w:basedOn w:val="Standard11"/>
    <w:link w:val="Header1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Application>LibreOffice/7.5.6.2$Linux_X86_64 LibreOffice_project/50$Build-2</Application>
  <AppVersion>15.0000</AppVersion>
  <Pages>13</Pages>
  <Words>4369</Words>
  <Characters>29600</Characters>
  <CharactersWithSpaces>33658</CharactersWithSpaces>
  <Paragraphs>389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2025-11-01T11:20:44Z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