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Информация</w:t>
      </w:r>
    </w:p>
    <w:p w14:paraId="05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выполнении мероприятий по регулированию выбросов </w:t>
      </w:r>
    </w:p>
    <w:p w14:paraId="06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периоды НМУ за 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 xml:space="preserve"> квартал 2026 года</w:t>
      </w:r>
    </w:p>
    <w:p w14:paraId="07000000">
      <w:pPr>
        <w:pStyle w:val="Style_2"/>
        <w:widowControl w:val="1"/>
        <w:ind w:firstLine="708" w:left="0" w:right="0"/>
        <w:jc w:val="both"/>
        <w:rPr>
          <w:rFonts w:ascii="Times New Roman" w:hAnsi="Times New Roman"/>
          <w:sz w:val="28"/>
        </w:rPr>
      </w:pPr>
    </w:p>
    <w:p w14:paraId="08000000">
      <w:pPr>
        <w:pStyle w:val="Style_2"/>
        <w:widowControl w:val="1"/>
        <w:spacing w:line="252" w:lineRule="auto"/>
        <w:ind w:firstLine="709" w:left="0" w:right="0"/>
        <w:jc w:val="both"/>
        <w:rPr>
          <w:sz w:val="28"/>
        </w:rPr>
      </w:pPr>
      <w:r>
        <w:rPr>
          <w:sz w:val="28"/>
        </w:rPr>
        <w:t xml:space="preserve">С 01.03.2026 года в связи с вступлением в силу новых требований к мероприятиям по снижению выбросов загрязняющих веществ в атмосферный воздух в периоды НМУ и их проведению при поступлении общих или специализированных прогнозов НМУ, а также требований к содержанию, составу, форме, порядку разработки, согласования и утверждения плана мероприятий по снижению выбросов загрязняющих веществ в атмосферный воздух в периоды НМУ </w:t>
      </w:r>
      <w:r>
        <w:rPr>
          <w:sz w:val="28"/>
        </w:rPr>
        <w:t>в течение 2 квартала 2026 года</w:t>
      </w:r>
      <w:r>
        <w:rPr>
          <w:sz w:val="28"/>
        </w:rPr>
        <w:t xml:space="preserve">, на официальном сайте Челябинского центра по гидрометеорологии и мониторингу </w:t>
      </w:r>
      <w:r>
        <w:rPr>
          <w:sz w:val="28"/>
        </w:rPr>
        <w:t>окружающей среды - филиала ФГБУ «Уральское УГМС» было размещено</w:t>
      </w:r>
      <w:r>
        <w:rPr>
          <w:sz w:val="28"/>
        </w:rPr>
        <w:t xml:space="preserve"> </w:t>
      </w:r>
      <w:r>
        <w:rPr>
          <w:rFonts w:ascii="PT Astra Serif" w:hAnsi="PT Astra Serif"/>
          <w:color w:val="000000"/>
          <w:spacing w:val="0"/>
          <w:sz w:val="28"/>
        </w:rPr>
        <w:t>5</w:t>
      </w:r>
      <w:r>
        <w:rPr>
          <w:sz w:val="28"/>
        </w:rPr>
        <w:t xml:space="preserve"> о</w:t>
      </w:r>
      <w:r>
        <w:rPr>
          <w:sz w:val="28"/>
        </w:rPr>
        <w:t>б</w:t>
      </w:r>
      <w:r>
        <w:rPr>
          <w:sz w:val="28"/>
        </w:rPr>
        <w:t>щих прогнозов неблагоприятных метеорологических условий.</w:t>
      </w:r>
    </w:p>
    <w:p w14:paraId="09000000">
      <w:pPr>
        <w:pStyle w:val="Style_2"/>
        <w:widowControl w:val="1"/>
        <w:spacing w:line="252" w:lineRule="auto"/>
        <w:ind w:firstLine="709" w:left="0" w:right="0"/>
        <w:jc w:val="both"/>
        <w:rPr>
          <w:sz w:val="28"/>
        </w:rPr>
      </w:pPr>
      <w:r>
        <w:rPr>
          <w:rStyle w:val="Style_2_ch"/>
          <w:sz w:val="28"/>
        </w:rPr>
        <w:t xml:space="preserve">Перечень юридических лиц и индивидуальных предпринимателей, имеющих согласованные Министерством экологии Челябинской области мероприятия по уменьшению выбросов загрязняющих веществ в атмосферный воздух в периоды НМУ регулярно размещается на официальном сайте Министерства экологии Челябинской области. </w:t>
      </w:r>
    </w:p>
    <w:p w14:paraId="0A000000">
      <w:pPr>
        <w:pStyle w:val="Style_2"/>
        <w:widowControl w:val="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предприятий ПАО «ММК», ООО «МЦОЗ», ООО «Шлаксервис», АО «МКХП-Ситно», ОАО «ММК – Метиз», ООО «Объединенная сервисная компания», ЗАО «ОВДО», ООО «Камелот», ООО «Интекс» одновременно с выполнением мероприятий по сокращению выбросов в атмосферный воздух в периоды НМУ предусмотрено выполнение производственного экологического контроля выбросов вредных веществ в периоды НМУ. </w:t>
      </w:r>
    </w:p>
    <w:p w14:paraId="0B000000">
      <w:pPr>
        <w:pStyle w:val="Style_2"/>
        <w:widowControl w:val="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производственного контроля, проводимого лабораторией охраны атмосферного воздуха ПАО «ММК», периодически размещаются на сайте администрации города Магнитогорска.</w:t>
      </w:r>
    </w:p>
    <w:p w14:paraId="0C000000">
      <w:pPr>
        <w:pStyle w:val="Style_2"/>
        <w:widowControl w:val="1"/>
        <w:ind w:firstLine="708" w:left="0" w:right="0"/>
        <w:jc w:val="both"/>
        <w:rPr>
          <w:sz w:val="28"/>
        </w:rPr>
      </w:pPr>
    </w:p>
    <w:p w14:paraId="0D000000">
      <w:pPr>
        <w:pStyle w:val="Style_2"/>
        <w:widowControl w:val="1"/>
        <w:ind w:firstLine="709" w:left="0" w:right="0"/>
        <w:jc w:val="center"/>
        <w:rPr>
          <w:b w:val="1"/>
          <w:sz w:val="28"/>
        </w:rPr>
      </w:pPr>
      <w:r>
        <w:rPr>
          <w:b w:val="1"/>
          <w:sz w:val="28"/>
        </w:rPr>
        <w:t>Информация о результатах выполнения мероприятий по регулированию выбросов в периоды НМУ предприятиями г. Магнитогорска, представившими отчет</w:t>
      </w:r>
    </w:p>
    <w:p w14:paraId="0E000000">
      <w:pPr>
        <w:pStyle w:val="Style_2"/>
        <w:widowControl w:val="1"/>
        <w:ind w:firstLine="709" w:left="0" w:right="0"/>
        <w:jc w:val="center"/>
        <w:rPr>
          <w:b w:val="1"/>
          <w:sz w:val="28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за </w:t>
      </w:r>
      <w:r>
        <w:rPr>
          <w:b w:val="1"/>
          <w:sz w:val="28"/>
        </w:rPr>
        <w:t>2</w:t>
      </w:r>
      <w:bookmarkStart w:id="1" w:name="_GoBack"/>
      <w:bookmarkEnd w:id="1"/>
      <w:r>
        <w:rPr>
          <w:b w:val="1"/>
          <w:sz w:val="28"/>
        </w:rPr>
        <w:t xml:space="preserve"> квартал 2026 года</w:t>
      </w:r>
    </w:p>
    <w:p w14:paraId="0F000000">
      <w:pPr>
        <w:pStyle w:val="Style_2"/>
        <w:widowControl w:val="1"/>
        <w:ind w:firstLine="709" w:left="0" w:right="0"/>
        <w:jc w:val="center"/>
        <w:rPr>
          <w:b w:val="1"/>
          <w:sz w:val="28"/>
        </w:rPr>
      </w:pPr>
    </w:p>
    <w:tbl>
      <w:tblPr>
        <w:tblW w:type="auto" w:w="0"/>
        <w:jc w:val="left"/>
        <w:tblInd w:type="dxa" w:w="7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6"/>
        <w:gridCol w:w="2587"/>
        <w:gridCol w:w="6407"/>
      </w:tblGrid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b w:val="1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PT Astra Serif" w:hAnsi="PT Astra Serif"/>
                <w:b w:val="1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b w:val="1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2"/>
              </w:rPr>
              <w:t>Наименование предприятия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b w:val="1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2"/>
              </w:rPr>
              <w:t>Результат выполнения мероприятий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ПАО «ММК»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 мероприятия по снижению выбросов загрязняющих веществ в атмосферный воздух выполнены в полном объеме, протоколы контроля промышленных выбросов размещены на официальных сайтах ПАО «ММК» и администрации города Магнитогорска в разделе «Информация об экологическом мониторинге».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 xml:space="preserve"> 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>Проведен лабораторный контроль выбросов на ИЗА в Доменном цехе, Аглоцехах ( КДИ, УУК; аглофабрики № 2, № 3), цехе РОФ (ДОФСР РОФ-2),  ЛПЦ-3, ЛПЦ-5,  ЛПЦ-11, ЭСПЦ.</w:t>
            </w:r>
          </w:p>
          <w:p w14:paraId="1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ОАО «ММК-МЕТИЗ»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мероприятия по снижению выбросов выполнены в полном объеме согласно проекту нормативов ПДВ. Проведен лабораторный контроль на ИЗА №№ 0068, 0168. Производственный лабораторный контроль выбросов вредных веществ на ИЗА, превышений нормативных концентраций не выявил. 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>Сокращение выбросов загрязняющих веществ в атмосферный воздух при НМУ составило 15% за счет снижения производительности технологических агрегатов и частично их временной остановки.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«МЦОЗ»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объеме. Проведены лабораторные исследования содержания пыли в атмосферном воздухе на границе СЗЗ.</w:t>
            </w:r>
          </w:p>
          <w:p w14:paraId="1D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в период НМУ составила от 71% до 88% по отдельным веществам.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«Шлаксервис»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объеме, эффективность снижения выбросов подтверждена расчетным методом.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«Огнеупор»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объеме, в соответствии с утвержденным планом.</w:t>
            </w:r>
          </w:p>
          <w:p w14:paraId="2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подтверждена расчетным методом.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ГУП «Водоканал»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объеме. Эффективность снижения выбросов определена расчетным методом и составила 20%.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«Магнитогорский завод по производству и переработке стекла»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выполнялись в полном объеме в соответствии с утвержденным планом, с частичной остановкой работы оборудования. Эффективность снижения выбросов определена расчетным методом и составила до 41%.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>ООО «Магнитогорский птицеводческий комплекс»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 xml:space="preserve">В периоды НМУ мероприятия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pacing w:val="0"/>
                <w:sz w:val="22"/>
                <w:u w:val="none"/>
              </w:rPr>
              <w:t>по снижению выбросов загрязняющих веществ в атмосферный воздух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 xml:space="preserve"> выполнялись в полном объеме, в соответствии с утвержденным Планом.</w:t>
            </w:r>
          </w:p>
          <w:p w14:paraId="2E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>Эффективность снижения выбросов определена расчетным методом.</w:t>
            </w:r>
          </w:p>
          <w:p w14:paraId="2F000000">
            <w:pPr>
              <w:pStyle w:val="Style_2"/>
              <w:widowControl w:val="0"/>
              <w:ind/>
              <w:jc w:val="left"/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«Строительный комплекс»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выполнялись организационно-технические мероприятия по снижению выбросов загрязняющих веществ в атмосферный воздух без снижения мощности производства. Эффективность снижения выбросов определена расчетным методом и составила – 15%.</w:t>
            </w:r>
          </w:p>
          <w:p w14:paraId="3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«Объединенная сервисная компания»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осуществлены мероприятия по снижению выбросов загрязняющих веществ в атмосферный воздух организационно-технического характера без существенного снижения мощности производства, с частичной приостановкой работы оборудования, позволяющие сократить выбросы загрязняющих веществ в атмосферный воздух на отдельных источниках до 100%.</w:t>
            </w:r>
          </w:p>
          <w:p w14:paraId="3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АО «Соединительные отводы трубопроводов»</w:t>
            </w:r>
          </w:p>
          <w:p w14:paraId="3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выполнены мероприятия по снижению выбросов загрязняющих веществ в атмосферный воздух, согласно разработанному плану мероприятий.</w:t>
            </w:r>
          </w:p>
          <w:p w14:paraId="3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Снижение выбросов загрязняющих веществ от выполнения мероприятий составило 20-40%.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3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АО ГТ «Энерго» (Газотурбинная ТЭЦ)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объеме. Эффективность снижения выбросов загрязняющих веществ в атмосферный воздух определена расчётным методом и составляет при НМУ - 5%.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АО «Группа компаний «Российское молоко»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выполнены организационно-технические мероприятия по снижению выбросов загрязняющих веществ в атмосферный воздух, предусмотренные согласованным планом. Эффективность снижения выбросов составила от 50% до 100% по отдельным источникам выбросов.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ЗАО «Магнитогорский завод прокатных валков»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по снижению выбросов загрязняющих веществ в атмосферный воздух, согласно утвержденному плану, что обеспечило снижение выбросов загрязняющих веществ на 15 %.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«НПЦ «Гальва»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по снижению выбросов загрязняющих веществ в атмосферный воздух, согласно утвержденному плану, снижение выбросов загрязняющих веществ составило 15 %.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ОАО «Челябвтормет»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выполнены организационно-технические мероприятия по снижению выбросов загрязняющих веществ в атмосферный воздух в соответствии с согласованным планом. Снижение выбросов ЗВ составило от 15% до 20% по отдельным загрязняющим веществам и источникам выброса.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АО «МКХП-СИТНО»</w:t>
            </w:r>
          </w:p>
          <w:p w14:paraId="4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объеме.  Эффективность снижения выбросов определена расчетным методом и составила 15%.</w:t>
            </w:r>
          </w:p>
        </w:tc>
      </w:tr>
      <w:tr>
        <w:trPr>
          <w:trHeight w:hRule="atLeast" w:val="20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«Магнитогорский элеватор»</w:t>
            </w:r>
          </w:p>
          <w:p w14:paraId="5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выполнялись в полном объеме в соответствии с утвержденным планом. Выполнена временная приостановка работы оборудования.</w:t>
            </w:r>
          </w:p>
          <w:p w14:paraId="5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определена расчетным методом.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19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3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sz w:val="22"/>
              </w:rPr>
              <w:t>ОАО «Магнитогорский хлебокомбинат» (ОАО «МХК»)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2"/>
              <w:widowControl w:val="0"/>
              <w:ind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>В периоды НМУ мероприятия по снижению выбросов загрязняющих веществ в атмосферный воздух выполнены в полном объеме. Эффективность снижения выбросов подтверждена расчетным методом и составила 48,25%.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Производственное отделение «Магнитогорские электрические сети» филиала ПАО «Россети Урал» - «Челябэнерго»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 мероприятия по снижению выбросов загрязняющих веществ в атмосферный воздух выполнялись в полном объеме. </w:t>
            </w:r>
          </w:p>
        </w:tc>
      </w:tr>
      <w:tr>
        <w:trPr>
          <w:trHeight w:hRule="atLeast" w:val="16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«Трест Магнитострой»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выполнялись в полном объеме в соответствии с утвержденным планом.</w:t>
            </w:r>
          </w:p>
          <w:p w14:paraId="5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при выполнении мероприятий в периоды НМУ определена расчетным методом и составила от 5% до 100% по отдельным источникам выбросов.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«Ремпуть»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выполнялись в соответствии с утвержденным планом в полном объеме.</w:t>
            </w:r>
          </w:p>
          <w:p w14:paraId="6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определена расчетным методом и составила 15% по отдельным источникам выбросов.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sz w:val="22"/>
              </w:rPr>
              <w:t>ЗАО "ПМИ" (ЗАО "Производство металлоизделий")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 мероприятия  выполнялись в соответствии с утвержденным планом в полном объеме. </w:t>
            </w:r>
          </w:p>
          <w:p w14:paraId="6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определена расчетным методом.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ЗАО «ОВДО»</w:t>
            </w:r>
          </w:p>
          <w:p w14:paraId="6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по снижению выбросов загрязняющих веществ в атмосферный воздух, согласно утвержденному плану.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«Камелот»</w:t>
            </w:r>
          </w:p>
          <w:p w14:paraId="6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проводились в полном объеме в соответствии объявленными режимами НМУ. Эффективность выполняемых мероприятий составила: - в периоды НМУ от 15</w:t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% до 100% по отдельным источникам выбросов.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«Фабрика Магнитогорская мебель»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представленным данным мероприятия проводились в полном объеме в соответствии объявленными режимами НМУ. Эффективность снижения выбросов загрязняющих веществ в атмосферный воздух определена расчётным методом и составила: от 15% до 100% по отдельным источникам выбросов.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«Лента»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мероприятия по снижению выбросов загрязняющих веществ в атмосферный воздух выполнялись в полном объеме в соответствии с утвержденным планом. Эффективность снижения выбросов по ЗВ составила –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«Компания Урал-Пласт»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мероприятия по снижению выбросов загрязняющих веществ в атмосферный воздух выполнялись в полном объеме в соответствии с утвержденным планом. Эффективность снижения выбросов составила – от 15% до 50% по отдельным загрязняющим веществам.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29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«Интекс»</w:t>
            </w:r>
          </w:p>
          <w:p w14:paraId="7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выполнялись в полном объеме в соответствии с утвержденным планом.</w:t>
            </w:r>
          </w:p>
          <w:p w14:paraId="7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составила – до 15% по отдельным загрязняющим веществам.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«АТМ-СПА+»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ООО «ДОМ»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 xml:space="preserve">мероприятия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pacing w:val="0"/>
                <w:sz w:val="22"/>
                <w:u w:val="none"/>
              </w:rPr>
              <w:t xml:space="preserve">по снижению выбросов загрязняющих веществ в атмосферный воздух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проводились в полном объеме в соответствии объявленным режимом НМУ.</w:t>
            </w:r>
          </w:p>
          <w:p w14:paraId="83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>Эффективность снижения выбросов определена расчетным методом и составила от 25% до 50% по отдельным ИЗА.</w:t>
            </w:r>
          </w:p>
          <w:p w14:paraId="84000000">
            <w:pPr>
              <w:pStyle w:val="Style_2"/>
              <w:widowControl w:val="0"/>
              <w:ind/>
              <w:jc w:val="left"/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АО «Горэлектросеть»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 в соответствии с утвержденным планом. Сокращение выбросов в результате выполнения мероприятий составило от 5% до 15%.</w:t>
            </w:r>
          </w:p>
          <w:p w14:paraId="8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«Магнитогорскинвестстрой»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мероприятия по снижению выбросов загрязняющих веществ в атмосферный воздух выполнены в полном объеме в соответствии с утвержденным планом.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МП «Магнитогорский городской транспорт»</w:t>
            </w:r>
          </w:p>
          <w:p w14:paraId="8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 в соответствии с утвержденным планом. Эффективность снижения выбросов определена расчетным методом и составила 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«НОВАТЭК-АЗК»</w:t>
            </w:r>
          </w:p>
          <w:p w14:paraId="9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мероприятия по снижению выбросов загрязняющих веществ в атмосферный воздух выполнены в полном объеме в соответствии с утвержденным планом.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«Спецкомплекс»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проводились организационные мероприятия по снижению выбросов  загрязняющих веществ в атмосферный воздух в соответствии с согласованным планом. </w:t>
            </w:r>
          </w:p>
          <w:p w14:paraId="9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составила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«Магистраль»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проводились организационные мероприятия по снижению выбросов загрязняющих веществ в атмосферный воздух в соответствии с согласованным планом.</w:t>
            </w:r>
          </w:p>
          <w:p w14:paraId="9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определена расчетным методом и составила - 15% по отдельным загрязняющим веществам.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ООО «РЕЙДЕР»</w:t>
            </w:r>
          </w:p>
          <w:p w14:paraId="9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 xml:space="preserve">В периоды НМУ мероприятия по снижению выбросов загрязняющих веществ в атмосферный воздух выполнены в полном объеме, в соответствии с утвержденным планом. </w:t>
            </w:r>
          </w:p>
          <w:p w14:paraId="A0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В результате выполнения мероприятий эффективность снижения выбросов составила 15 %.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39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ЗАО «Лизинг капитал групп»</w:t>
            </w:r>
          </w:p>
          <w:p w14:paraId="A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проводились в полном объеме в соответствии объявленными режимами НМУ, эффективность выполняемых мероприятий соответствует проведенным расчетам. Сокращение выбросов в результате выполнения мероприятий составило 5%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>Магнитогорское ЛПУМГ -  Филиал ООО «Газпром трансгаз Екатеринбург» (ГРС-2), (ГРС-3), (ГРС-4)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pacing w:val="0"/>
                <w:sz w:val="22"/>
                <w:u w:val="none"/>
              </w:rPr>
              <w:t xml:space="preserve">В период НМУ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 xml:space="preserve">мероприятия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pacing w:val="0"/>
                <w:sz w:val="22"/>
                <w:u w:val="none"/>
              </w:rPr>
              <w:t>по снижению выбросов загрязняющих веществ в атмосферный воздух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 xml:space="preserve"> проводились в полном объеме в соответствии объявленными режимами НМУ.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z w:val="22"/>
                <w:u w:val="none"/>
              </w:rPr>
              <w:t>Филиал ООО «Газпром трансгаз Екатеринбург» -- Промплощадка Управления аварийно восстановительных работ № 2 в г. Магнитогорск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pacing w:val="0"/>
                <w:sz w:val="22"/>
                <w:u w:val="none"/>
              </w:rPr>
              <w:t xml:space="preserve">В период НМУ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 xml:space="preserve">мероприятия 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color w:val="000000"/>
                <w:spacing w:val="0"/>
                <w:sz w:val="22"/>
                <w:u w:val="none"/>
              </w:rPr>
              <w:t>по снижению выбросов загрязняющих веществ в атмосферный воздух</w:t>
            </w: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 xml:space="preserve"> проводились в полном объеме в соответствии объявленными режимами НМУ.</w:t>
            </w:r>
          </w:p>
          <w:p w14:paraId="AB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Эффективность снижения выбросов определена расчетным методом и составила от 15% до 100% по отдельным ИЗА.</w:t>
            </w:r>
          </w:p>
        </w:tc>
      </w:tr>
      <w:tr>
        <w:trPr>
          <w:trHeight w:hRule="atLeast" w:val="29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«ЛУКОЙЛ-Уралнефтепродукт»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проводились организационные мероприятия не связанные со снижением производственной мощности оборудования, а также выбросов загрязняющих веществ в атмосферный воздух, в соответствии с согласованным планом. Эффективность снижения выбросов составила 10 %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/>
              <w:t>43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«МагДомСтрой»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 проводились организационные мероприятия, в соответствии с согласованным планом, не связанные со снижением производственной мощности оборудования.</w:t>
            </w:r>
          </w:p>
          <w:p w14:paraId="B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ЗВ в атмосферный воздух определена расчетным методом и составила от 5% до 15%.</w:t>
            </w:r>
          </w:p>
        </w:tc>
      </w:tr>
      <w:tr>
        <w:trPr>
          <w:trHeight w:hRule="atLeast" w:val="1296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sz w:val="22"/>
              </w:rPr>
              <w:t>44</w:t>
            </w:r>
          </w:p>
          <w:p w14:paraId="B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«Эмаль»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проводились организационные мероприятия по снижению выбросов загрязняющих веществ в атмосферный воздух в соответствии с согласованным планом. Эффективность снижения выбросов составила 15 %  по отдельным загрязняющим веществам.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«УРАЛЬСКАЯ МЕТАЛЛООБРАБАТЫВАЮЩАЯ КОМПАНИЯ»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Мероприятия по снижению выбросов загрязняющих веществ в атмосферный воздух в периоды  НМУ выполнялись в полном объеме в соответствии с утвержденным планом. Эффективность снижения выбросов определена расчетным методом и составила от 15% до 100% по отдельным ИЗА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«Объединение «Союзпищепром» (Магнитогорский товарный участок)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объеме.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 xml:space="preserve"> 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загрязняющих веществ в атмосферный воздух определена расчетным методом и составляет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ООО «МАГВТОРМЕТ»</w:t>
            </w:r>
          </w:p>
          <w:p w14:paraId="B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sz w:val="22"/>
              </w:rPr>
              <w:t>В периоды НМУ мероприятия по снижению выбросов загрязняющих веществ в атмосферный воздух проводились в полном объеме в соответствии утвержденным планом.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«ГЛОБАЛ»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загрязняющих веществ в атмосферный воздух в соответствии с утвержденным планом. Эффективность снижения выбросов определена расчетным методом и составляет 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49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«Башнефть-розница»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загрязняющих веществ в атмосферный воздух в соответствии с утвержденным планом. Эффективность снижения выбросов определена расчетным методом и составляет 10%.</w:t>
            </w:r>
          </w:p>
        </w:tc>
      </w:tr>
      <w:tr>
        <w:trPr>
          <w:trHeight w:hRule="atLeast" w:val="1091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3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sz w:val="22"/>
              </w:rPr>
              <w:t>ООО «Газпромнефть-Центр»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загрязняющих веществ в атмосферный воздух в соответствии с утвержденным планом. Эффективность снижения выбросов определена расчетным методом и составляет 5%.</w:t>
            </w:r>
          </w:p>
        </w:tc>
      </w:tr>
      <w:tr>
        <w:trPr>
          <w:trHeight w:hRule="atLeast" w:val="1071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ООО «Эксперт Упак»</w:t>
            </w:r>
          </w:p>
          <w:p w14:paraId="C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b w:val="0"/>
                <w:i w:val="0"/>
                <w:strike w:val="0"/>
                <w:shadow w:val="0"/>
                <w:sz w:val="22"/>
                <w:u w:val="none"/>
              </w:rPr>
              <w:t>В период НМУ проводились организационные мероприятия не связанные со снижением производственной мощности оборудования, а также выбросов ЗВ в атмосферный воздух, в соответствии с согласованным планом.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«Цинковые покрытия»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загрязняющих веществ в атмосферный воздух в соответствии с утвержденным планом. Эффективность снижения выбросов определена расчетным методом и составляет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«Консерв-трейд»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загрязняющих веществ в атмосферный воздух в полном объеме, в соответствии с утвержденным планом.</w:t>
            </w:r>
          </w:p>
          <w:p w14:paraId="D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от выполнения мероприятий определена расчетным методом и составила: от 5% до 85% по отдельным загрязняющим веществам.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УК «Логист»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Согласно представленным данным мероприятия выполнялись в соответствии с объявленными режимами НМУ.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«КОРН»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проводились организационные мероприятия, в соответствии с согласованным планом, не связанные со снижением производственной мощности оборудования. Эффективность снижения выбросов ЗВ в атмосферный воздух определена расчетным методом и составила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«ДОМ» (Магнитогорск, пр. Карла Маркса, д. 210)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проведены мероприятия по снижению выбросов загрязняющих веществ в атмосферный воздух в соответствии с утвержденным планом. </w:t>
            </w:r>
          </w:p>
        </w:tc>
      </w:tr>
      <w:tr>
        <w:trPr>
          <w:trHeight w:hRule="atLeast" w:val="23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Группа компаний «М-Стил»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загрязняющих веществ в атмосферный воздух в соответствии с утвержденным планом в полном объеме, эффективность снижения выбросов от выполнения мероприятий определена расчетным методом и составила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«ИмперС»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проведены мероприятия по снижению выбросов загрязняющих веществ в атмосферный воздух в соответствии с утвержденным планом в полном объеме.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59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«ИНВЕСТАКТИВ»</w:t>
            </w:r>
          </w:p>
          <w:p w14:paraId="E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выполнялись в полном объеме.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ИП Исмеев Р.И.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по снижению выбросов загрязняющих веществ в атмосферный воздух в соответствии с утвержденным планом в полном объеме, эффективность снижения выбросов от выполнения мероприятий определена расчетным методом и составила 5%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«Прогресс»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проведены мероприятия по снижению выбросов загрязняющих веществ в атмосферный воздух в соответствии с утвержденным планом в полном объеме.</w:t>
            </w:r>
          </w:p>
        </w:tc>
      </w:tr>
      <w:tr>
        <w:trPr>
          <w:trHeight w:hRule="atLeast" w:val="307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Производственное объединение «АгрегатМаш»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выполнялись в соответствии с утвержденным планом в полном объеме, эффективность снижения выбросов от выполнения мероприятий определена расчетным методом и составила  5%.</w:t>
            </w:r>
          </w:p>
        </w:tc>
      </w:tr>
      <w:tr>
        <w:trPr>
          <w:trHeight w:hRule="atLeast" w:val="307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«Сфера-1»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ыполнены мероприятия по снижению выбросов загрязняющих веществ в атмосферный воздух в соответствии с утвержденным планом в полном объеме.</w:t>
            </w:r>
          </w:p>
          <w:p w14:paraId="F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 снижения выбросов установлена расчетным методом и составила - 15%.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«Магнитогорская энергетическая компания»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объеме, в соответствии с утвержденным планом. Эффективность снижения выбросов установлена расчетным методом и составила 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НПО «МеталлЭнерго»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 в соответствии с утвержденным планом. Эффективность снижения выбросов установлена расчетным методом и составляет от 5% до 15% по отдельным веществам.</w:t>
            </w:r>
          </w:p>
          <w:p w14:paraId="F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«Уралпротект»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мероприятия по снижению выбросов загрязняющих веществ в атмосферный воздух выполнены в полном объеме, в соответствии с утвержденным планом. </w:t>
            </w:r>
          </w:p>
          <w:p w14:paraId="F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«Магнитогорский литейно-штамповочный завод»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представленным сведениям в периоды НМУ выполнены мероприятия организационного характера. Эффективность снижения выбросов загрязняющих веществ в атмосферный воздух определена расчетным методом и составила от 5% до 15% по отдельным загрязняющим веществам.</w:t>
            </w:r>
          </w:p>
          <w:p w14:paraId="0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УК «ПА-чин»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мероприятия по снижению выбросов загрязняющих веществ в атмосферный воздух выполнены в полном объеме, в соответствии с утвержденным планом. </w:t>
            </w:r>
          </w:p>
          <w:p w14:paraId="0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69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ЗАО фирма «АЗОС»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организационно-технического характера в соответствии с утвержденным планом. Эффективность снижения выбросов загрязняющих веществ в атмосферный воздух в периоды НМУ определена расчетным методом и составила 15%.</w:t>
            </w:r>
          </w:p>
        </w:tc>
      </w:tr>
      <w:tr>
        <w:trPr>
          <w:trHeight w:hRule="atLeast" w:val="1153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«Энерго Системы Про»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организационно-технического характера в соответствии с утвержденным планом. Эффективность снижения выбросов загрязняющих веществ в атмосферный воздух в периоды НМУ определена расчетным методом и составила 15%</w:t>
            </w:r>
          </w:p>
        </w:tc>
      </w:tr>
      <w:tr>
        <w:trPr>
          <w:trHeight w:hRule="atLeast" w:val="1153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«Левага»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представленным данным в периоды НМУ мероприятия выполнялись в полном объеме в соответствии с утвержденным планом. Эффективность снижения выбросов подтверждена расчетным методом.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Филиал ОАО «РЖД» Южно-Уральская дирекция по тепловодоснабжению, Котельная ТЧ-5 (ст. Магнитогорск)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объеме, в соответствии с утвержденным планом. Эффективность снижения выбросов установлена расчетным методом и составляет 10%.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«МегаПЭТ»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представленными данным мероприятия проводились в полном объеме в соответствии с утвержденным Планом. Эффективность снижения выбросов вредных веществ в атмосферный воздух определена расчетным методом и составила 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3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«Магнитогорский электродный завод»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мероприятия по снижению выбросов загрязняющих веществ в атмосферный воздух выполнены в полном объеме в соответствии с утвержденным планом. </w:t>
            </w:r>
          </w:p>
          <w:p w14:paraId="1A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Эффективность снижения выбросов определена расчетным методом.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«ВторРесурс»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мероприятия по снижению выбросов загрязняющих веществ в атмосферный воздух выполнены в полном объеме. Эффективность снижения выбросов подтверждена расчетным методом составила от 36,08% до 100% по отдельным источникам загрязнения атмосферы.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АО «Ситиматик»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представленным данным мероприятия выполнялись в полном объеме, в соответствии с утвержденным планом мероприятий. Эффективность снижения выбросов от выполнения мероприятий в период НМУ определена расчетным методом и составляет 15%.</w:t>
            </w:r>
          </w:p>
          <w:p w14:paraId="21010000">
            <w:pPr>
              <w:pStyle w:val="Style_2"/>
              <w:widowControl w:val="0"/>
              <w:ind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2"/>
              <w:widowControl w:val="0"/>
              <w:ind/>
              <w:jc w:val="left"/>
              <w:rPr/>
            </w:pPr>
            <w:r>
              <w:rPr/>
              <w:t>Общество с ограниченной ответственностью «УРАЛСТРОЙСТАЛЬ»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2"/>
              <w:widowControl w:val="0"/>
              <w:ind/>
              <w:jc w:val="left"/>
              <w:rPr/>
            </w:pPr>
            <w:r>
              <w:rPr/>
              <w:t>В периоды НМУ   мероприятия по снижению выбросов загрязняющих веществ в атмосферный воздух выполнены в полном объеме в соответствии с утвержденным Планом.  Эффективность снижения выбросов вредных веществ в атмосферный воздух определена расчетным методом и составила от 15% до 100% по отдельным ИЗА.</w:t>
            </w:r>
          </w:p>
          <w:p w14:paraId="25010000">
            <w:pPr>
              <w:pStyle w:val="Style_2"/>
              <w:widowControl w:val="0"/>
              <w:ind/>
              <w:jc w:val="left"/>
              <w:rPr/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«Альтернатива»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В периоды НМУ  мероприятия по снижению выбросов загрязняющих веществ в атмосферный воздух выполнены в полном объеме в соответствии с утвержденным Планом.  </w:t>
            </w:r>
          </w:p>
          <w:p w14:paraId="29010000">
            <w:pPr>
              <w:pStyle w:val="Style_2"/>
              <w:widowControl w:val="0"/>
              <w:ind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79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«Лазерная резка металла»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представленным данным мероприятия выполнены в соответствии с утвержденным планом.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«УРАЛПРОФСТРОЙ»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организационно-технического характера в соответствии с утвержденным планом.</w:t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загрязняющих веществ в атмосферный воздух определена расчетным методом и составила —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2"/>
              <w:widowControl w:val="0"/>
              <w:ind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«УралЭнергоРесурс»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2"/>
              <w:widowControl w:val="0"/>
              <w:ind/>
              <w:jc w:val="left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организационного характера, не требующие снижения выбросов загрязняющих веществ в атмосферный воздух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 xml:space="preserve">. 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>Эффективность снижения выбросов загрязняющих веществ определена расчетным методом и составила — 15%.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2"/>
              <w:widowControl w:val="0"/>
              <w:ind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Муниципальное казенное учреждение «Управление капитального строительства»;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2"/>
              <w:widowControl w:val="0"/>
              <w:ind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организационного характера, не требующие значительного снижения выбросов загрязняющих веществ в атмосферный воздух. Эффективность снижения выбросов загрязняющих веществ определена расчетным методом и составила — 15%.</w:t>
            </w:r>
          </w:p>
        </w:tc>
      </w:tr>
      <w:tr>
        <w:trPr>
          <w:trHeight w:hRule="atLeast" w:val="23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83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«Протон»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мероприятия организационного характера, не требующие значительного снижения выбросов загрязняющих веществ в атмосферный воздух. Эффективность снижения выбросов загрязняющих веществ определена расчетным методом и составила - 100% на отдельных источниках выбросов.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84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ЗАО «АВС Фарбен»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представленной информации в периоды НМУ выполнены мероприятия организационного характера, не требующие снижения выбросов загрязняющих веществ в атмосферный воздух.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85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ИП Неневоля П.А.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Согласно представленной информации мероприятия выполнялись в полном объеме, в соответствии с утвержденным планом мероприятий. 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86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«Строитель МП»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Согласно представленными данным мероприятия проводились в полном объеме в соответствии с объявленными режимами НМУ. Эффективность снижения выбросов загрязняющих веществ определена расчетным методом и составила от 30% до 50% по отдельным ИЗА.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87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АО «Работы Взрывные Специальные»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 НМУ проводились организационные мероприятия не связанные со снижением производственной мощности оборудования, а также выбросов ЗВ в атмосферный воздух, в соответствии с согласованным планом.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88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«Автотранспортное управление»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организационно-технические мероприятия без сокращения производственной мощности предприятия и снижения выбросов загрязняющих веществ, в соответствии с согласованным планом мероприятий.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89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ИП Паников А.В.</w:t>
            </w:r>
          </w:p>
          <w:p w14:paraId="4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организационно-технические мероприятия без сокращения производственной мощности предприятия и снижения выбросов загрязняющих веществ, в соответствии с согласованным планом мероприятий.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90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«Торговый дом «Машиностроительный завод «Квант»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выполнены организационно-технические мероприятия без сокращения производственной мощности предприятия и снижения выбросов загрязняющих веществ, в соответствии с согласованным планом мероприятий.</w:t>
            </w: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91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rPr/>
            </w:pPr>
            <w:r>
              <w:rPr/>
              <w:t xml:space="preserve">ООО УК «ЖЭУ г. Магнитогорска» 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/>
              <w:t xml:space="preserve">В период НМУ </w:t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t xml:space="preserve"> выполнены организационно-технические мероприятия без сокращения производственной мощности и снижения выбросов загрязняющих веществ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>,</w:t>
            </w:r>
            <w:r>
              <w:rPr>
                <w:rStyle w:val="Style_2_ch"/>
                <w:rFonts w:ascii="PT Astra Serif" w:hAnsi="PT Astra Serif"/>
                <w:color w:val="000000"/>
                <w:spacing w:val="0"/>
                <w:sz w:val="22"/>
              </w:rPr>
              <w:t>случаев возгорания бытовых отходов и мусора не выявлено.</w:t>
            </w:r>
          </w:p>
          <w:p w14:paraId="52010000">
            <w:pPr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"/>
        </w:trPr>
        <w:tc>
          <w:tcPr>
            <w:tcW w:type="dxa" w:w="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92</w:t>
            </w:r>
          </w:p>
        </w:tc>
        <w:tc>
          <w:tcPr>
            <w:tcW w:type="dxa" w:w="25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ООО «ТЕХНОТРЕЙД»</w:t>
            </w:r>
          </w:p>
        </w:tc>
        <w:tc>
          <w:tcPr>
            <w:tcW w:type="dxa" w:w="64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/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В периоды НМУ в соответствии с утвержденным Планом, предусмотрены мероприятия организационно-технического характера без снижения выбросов загрязняющих веществ в атмосферный воздух..</w:t>
            </w:r>
          </w:p>
        </w:tc>
      </w:tr>
    </w:tbl>
    <w:p w14:paraId="56010000">
      <w:pPr>
        <w:pStyle w:val="Style_2"/>
        <w:pageBreakBefore w:val="0"/>
        <w:widowControl w:val="1"/>
        <w:ind/>
        <w:jc w:val="center"/>
        <w:rPr>
          <w:rFonts w:ascii="PT Astra Serif" w:hAnsi="PT Astra Serif"/>
          <w:color w:val="000000"/>
          <w:spacing w:val="0"/>
          <w:sz w:val="28"/>
        </w:rPr>
      </w:pPr>
    </w:p>
    <w:p w14:paraId="57010000">
      <w:pPr>
        <w:pStyle w:val="Style_2"/>
        <w:pageBreakBefore w:val="0"/>
        <w:widowControl w:val="1"/>
        <w:ind/>
        <w:jc w:val="center"/>
        <w:rPr>
          <w:rFonts w:ascii="PT Astra Serif" w:hAnsi="PT Astra Serif"/>
          <w:color w:val="000000"/>
          <w:spacing w:val="0"/>
          <w:sz w:val="28"/>
        </w:rPr>
      </w:pPr>
    </w:p>
    <w:p w14:paraId="58010000">
      <w:pPr>
        <w:pStyle w:val="Style_2"/>
        <w:pageBreakBefore w:val="0"/>
        <w:widowControl w:val="1"/>
        <w:ind/>
        <w:jc w:val="center"/>
        <w:rPr>
          <w:rFonts w:ascii="PT Astra Serif" w:hAnsi="PT Astra Serif"/>
          <w:color w:val="000000"/>
          <w:spacing w:val="0"/>
          <w:sz w:val="28"/>
        </w:rPr>
      </w:pPr>
      <w:r>
        <w:rPr>
          <w:rFonts w:ascii="PT Astra Serif" w:hAnsi="PT Astra Serif"/>
          <w:color w:val="000000"/>
          <w:spacing w:val="0"/>
          <w:sz w:val="28"/>
        </w:rPr>
        <w:t>Информация о периодах наступления неблагоприятных метеорологических условий в</w:t>
      </w:r>
      <w:r>
        <w:rPr>
          <w:rFonts w:ascii="PT Astra Serif" w:hAnsi="PT Astra Serif"/>
          <w:color w:val="000000"/>
          <w:spacing w:val="0"/>
          <w:sz w:val="28"/>
        </w:rPr>
        <w:t>о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pacing w:val="0"/>
          <w:sz w:val="28"/>
        </w:rPr>
        <w:t>2</w:t>
      </w:r>
      <w:r>
        <w:rPr>
          <w:rFonts w:ascii="PT Astra Serif" w:hAnsi="PT Astra Serif"/>
          <w:color w:val="000000"/>
          <w:spacing w:val="0"/>
          <w:sz w:val="28"/>
        </w:rPr>
        <w:t xml:space="preserve"> кв. 2026 г.</w:t>
      </w:r>
    </w:p>
    <w:p w14:paraId="59010000">
      <w:pPr>
        <w:pStyle w:val="Style_2"/>
        <w:widowControl w:val="1"/>
        <w:ind/>
        <w:jc w:val="center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22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34"/>
        <w:gridCol w:w="2205"/>
      </w:tblGrid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4"/>
              </w:rPr>
              <w:t>период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4"/>
              </w:rPr>
              <w:t>степень НМУ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10000">
            <w:pPr>
              <w:pStyle w:val="Style_3"/>
              <w:widowControl w:val="1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апрель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E010000">
            <w:pPr>
              <w:pStyle w:val="Style_3"/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19.00 — 01.04.2026 до 15.00 — 03.04.2026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10000">
            <w:pPr>
              <w:pStyle w:val="Style_3"/>
              <w:widowControl w:val="1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май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10000">
            <w:pPr>
              <w:pStyle w:val="Style_3"/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00.00 — 16.05.2026 до 19.00 — 18.05.2026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4010000">
            <w:pPr>
              <w:pStyle w:val="Style_3"/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19.00 — 25.05.2026 до 14.00 — 26.05.2026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10000">
            <w:pPr>
              <w:pStyle w:val="Style_3"/>
              <w:widowControl w:val="1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июнь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10000">
            <w:pPr>
              <w:pStyle w:val="Style_3"/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>С 23.00 — 16.06.2026 до 23.00 — 17.06.2026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10000">
            <w:pPr>
              <w:pStyle w:val="Style_3"/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00.00 — 19.06.2026 до 12.00 — 21.06.2026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</w:tbl>
    <w:p w14:paraId="6C010000">
      <w:pPr>
        <w:pStyle w:val="Style_2"/>
        <w:widowControl w:val="1"/>
        <w:ind/>
        <w:jc w:val="center"/>
        <w:rPr>
          <w:rFonts w:ascii="PT Astra Serif" w:hAnsi="PT Astra Serif"/>
          <w:sz w:val="24"/>
        </w:rPr>
      </w:pPr>
    </w:p>
    <w:p w14:paraId="6D010000">
      <w:pPr>
        <w:pStyle w:val="Style_2"/>
      </w:pPr>
    </w:p>
    <w:p w14:paraId="6E01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</w:p>
    <w:sectPr>
      <w:headerReference r:id="rId1" w:type="default"/>
      <w:headerReference r:id="rId2" w:type="first"/>
      <w:type w:val="nextPage"/>
      <w:pgSz w:h="16838" w:orient="portrait" w:w="11906"/>
      <w:pgMar w:bottom="1134" w:footer="0" w:gutter="0" w:header="1134" w:left="1418" w:right="849" w:top="1417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Liberation Serif" w:hAnsi="Liberation Serif"/>
      <w:color w:val="000000"/>
      <w:spacing w:val="0"/>
      <w:sz w:val="24"/>
    </w:rPr>
  </w:style>
  <w:style w:styleId="Style_4" w:type="paragraph">
    <w:name w:val="Endnote1"/>
    <w:link w:val="Style_4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_ch" w:type="character">
    <w:name w:val="Endnote1"/>
    <w:link w:val="Style_4"/>
    <w:rPr>
      <w:rFonts w:ascii="XO Thames" w:hAnsi="XO Thames"/>
      <w:color w:val="000000"/>
      <w:spacing w:val="0"/>
      <w:sz w:val="22"/>
    </w:rPr>
  </w:style>
  <w:style w:styleId="Style_5" w:type="paragraph">
    <w:name w:val="toc 2"/>
    <w:next w:val="Style_2"/>
    <w:link w:val="Style_5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4"/>
    <w:next w:val="Style_2"/>
    <w:link w:val="Style_6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heading 4"/>
    <w:link w:val="Style_7_ch"/>
    <w:pPr>
      <w:widowControl w:val="1"/>
      <w:ind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_ch" w:type="character">
    <w:name w:val="heading 4"/>
    <w:link w:val="Style_7"/>
    <w:rPr>
      <w:rFonts w:ascii="XO Thames" w:hAnsi="XO Thames"/>
      <w:b w:val="1"/>
      <w:color w:val="000000"/>
      <w:spacing w:val="0"/>
      <w:sz w:val="24"/>
    </w:rPr>
  </w:style>
  <w:style w:styleId="Style_8" w:type="paragraph">
    <w:name w:val="toc 6"/>
    <w:next w:val="Style_2"/>
    <w:link w:val="Style_8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7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Contents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7"/>
    <w:next w:val="Style_2"/>
    <w:link w:val="Style_10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Заголовок таблицы"/>
    <w:basedOn w:val="Style_3"/>
    <w:link w:val="Style_11_ch"/>
    <w:rPr>
      <w:b w:val="1"/>
    </w:rPr>
  </w:style>
  <w:style w:styleId="Style_11_ch" w:type="character">
    <w:name w:val="Заголовок таблицы"/>
    <w:basedOn w:val="Style_3_ch"/>
    <w:link w:val="Style_11"/>
    <w:rPr>
      <w:b w:val="1"/>
    </w:rPr>
  </w:style>
  <w:style w:styleId="Style_12" w:type="paragraph">
    <w:name w:val="List"/>
    <w:basedOn w:val="Style_13"/>
    <w:link w:val="Style_12_ch"/>
    <w:rPr>
      <w:rFonts w:ascii="PT Astra Serif" w:hAnsi="PT Astra Serif"/>
    </w:rPr>
  </w:style>
  <w:style w:styleId="Style_12_ch" w:type="character">
    <w:name w:val="List"/>
    <w:basedOn w:val="Style_13_ch"/>
    <w:link w:val="Style_12"/>
    <w:rPr>
      <w:rFonts w:ascii="PT Astra Serif" w:hAnsi="PT Astra Serif"/>
    </w:rPr>
  </w:style>
  <w:style w:styleId="Style_14" w:type="paragraph">
    <w:name w:val="Title"/>
    <w:link w:val="Style_14_ch"/>
    <w:rPr>
      <w:rFonts w:ascii="XO Thames" w:hAnsi="XO Thames"/>
      <w:b w:val="1"/>
      <w:caps w:val="1"/>
      <w:sz w:val="40"/>
    </w:rPr>
  </w:style>
  <w:style w:styleId="Style_14_ch" w:type="character">
    <w:name w:val="Title"/>
    <w:link w:val="Style_14"/>
    <w:rPr>
      <w:rFonts w:ascii="XO Thames" w:hAnsi="XO Thames"/>
      <w:b w:val="1"/>
      <w:caps w:val="1"/>
      <w:sz w:val="40"/>
    </w:rPr>
  </w:style>
  <w:style w:styleId="Style_15" w:type="paragraph">
    <w:name w:val="Heading 31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1"/>
    <w:link w:val="Style_15"/>
    <w:rPr>
      <w:rFonts w:ascii="XO Thames" w:hAnsi="XO Thames"/>
      <w:b w:val="1"/>
      <w:color w:val="000000"/>
      <w:spacing w:val="0"/>
      <w:sz w:val="26"/>
    </w:rPr>
  </w:style>
  <w:style w:styleId="Style_13" w:type="paragraph">
    <w:name w:val="Text body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3_ch" w:type="character">
    <w:name w:val="Text body"/>
    <w:link w:val="Style_13"/>
    <w:rPr>
      <w:rFonts w:ascii="Calibri" w:hAnsi="Calibri"/>
      <w:color w:val="000000"/>
      <w:spacing w:val="0"/>
      <w:sz w:val="22"/>
    </w:rPr>
  </w:style>
  <w:style w:styleId="Style_16" w:type="paragraph">
    <w:name w:val="Heading 5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6_ch" w:type="character">
    <w:name w:val="Heading 51"/>
    <w:link w:val="Style_16"/>
    <w:rPr>
      <w:rFonts w:ascii="XO Thames" w:hAnsi="XO Thames"/>
      <w:b w:val="1"/>
      <w:color w:val="000000"/>
      <w:spacing w:val="0"/>
      <w:sz w:val="22"/>
    </w:rPr>
  </w:style>
  <w:style w:styleId="Style_17" w:type="paragraph">
    <w:name w:val="Endnote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2"/>
    </w:rPr>
  </w:style>
  <w:style w:styleId="Style_17_ch" w:type="character">
    <w:name w:val="Endnote"/>
    <w:link w:val="Style_17"/>
    <w:rPr>
      <w:rFonts w:ascii="XO Thames" w:hAnsi="XO Thames"/>
      <w:color w:val="000000"/>
      <w:spacing w:val="0"/>
      <w:sz w:val="22"/>
    </w:rPr>
  </w:style>
  <w:style w:styleId="Style_18" w:type="paragraph">
    <w:name w:val="heading 3"/>
    <w:next w:val="Style_2"/>
    <w:link w:val="Style_18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8_ch" w:type="character">
    <w:name w:val="heading 3"/>
    <w:link w:val="Style_18"/>
    <w:rPr>
      <w:rFonts w:ascii="XO Thames" w:hAnsi="XO Thames"/>
      <w:b w:val="1"/>
      <w:color w:val="000000"/>
      <w:spacing w:val="0"/>
      <w:sz w:val="26"/>
    </w:rPr>
  </w:style>
  <w:style w:styleId="Style_19" w:type="paragraph">
    <w:name w:val="Contents 5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Contents 5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Body Text"/>
    <w:basedOn w:val="Style_2"/>
    <w:link w:val="Style_20_ch"/>
    <w:pPr>
      <w:widowControl w:val="1"/>
      <w:spacing w:after="140" w:before="0" w:line="276" w:lineRule="auto"/>
      <w:ind/>
    </w:pPr>
  </w:style>
  <w:style w:styleId="Style_20_ch" w:type="character">
    <w:name w:val="Body Text"/>
    <w:basedOn w:val="Style_2_ch"/>
    <w:link w:val="Style_20"/>
  </w:style>
  <w:style w:styleId="Style_21" w:type="paragraph">
    <w:name w:val="List"/>
    <w:basedOn w:val="Style_13"/>
    <w:link w:val="Style_21_ch"/>
    <w:rPr>
      <w:rFonts w:ascii="PT Astra Serif" w:hAnsi="PT Astra Serif"/>
    </w:rPr>
  </w:style>
  <w:style w:styleId="Style_21_ch" w:type="character">
    <w:name w:val="List"/>
    <w:basedOn w:val="Style_13_ch"/>
    <w:link w:val="Style_21"/>
    <w:rPr>
      <w:rFonts w:ascii="PT Astra Serif" w:hAnsi="PT Astra Serif"/>
    </w:rPr>
  </w:style>
  <w:style w:styleId="Style_22" w:type="paragraph">
    <w:name w:val="Caption"/>
    <w:basedOn w:val="Style_2"/>
    <w:link w:val="Style_22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2_ch" w:type="character">
    <w:name w:val="Caption"/>
    <w:basedOn w:val="Style_2_ch"/>
    <w:link w:val="Style_22"/>
    <w:rPr>
      <w:rFonts w:ascii="PT Astra Serif" w:hAnsi="PT Astra Serif"/>
      <w:i w:val="1"/>
      <w:sz w:val="24"/>
    </w:rPr>
  </w:style>
  <w:style w:styleId="Style_23" w:type="paragraph">
    <w:name w:val="Footer1"/>
    <w:basedOn w:val="Style_24"/>
    <w:link w:val="Style_23_ch"/>
  </w:style>
  <w:style w:styleId="Style_23_ch" w:type="character">
    <w:name w:val="Footer1"/>
    <w:basedOn w:val="Style_24_ch"/>
    <w:link w:val="Style_23"/>
  </w:style>
  <w:style w:styleId="Style_25" w:type="paragraph">
    <w:name w:val="Heading 3"/>
    <w:link w:val="Style_25_ch"/>
    <w:rPr>
      <w:rFonts w:ascii="XO Thames" w:hAnsi="XO Thames"/>
      <w:b w:val="1"/>
      <w:sz w:val="26"/>
    </w:rPr>
  </w:style>
  <w:style w:styleId="Style_25_ch" w:type="character">
    <w:name w:val="Heading 3"/>
    <w:link w:val="Style_25"/>
    <w:rPr>
      <w:rFonts w:ascii="XO Thames" w:hAnsi="XO Thames"/>
      <w:b w:val="1"/>
      <w:sz w:val="26"/>
    </w:rPr>
  </w:style>
  <w:style w:styleId="Style_26" w:type="paragraph">
    <w:name w:val="Internet link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6_ch" w:type="character">
    <w:name w:val="Internet link"/>
    <w:link w:val="Style_26"/>
    <w:rPr>
      <w:rFonts w:ascii="Calibri" w:hAnsi="Calibri"/>
      <w:color w:val="0000FF"/>
      <w:spacing w:val="0"/>
      <w:sz w:val="22"/>
      <w:u w:val="single"/>
    </w:rPr>
  </w:style>
  <w:style w:styleId="Style_27" w:type="paragraph">
    <w:name w:val="Heading 1"/>
    <w:link w:val="Style_27_ch"/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Footnote1"/>
    <w:link w:val="Style_28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_ch" w:type="character">
    <w:name w:val="Footnote1"/>
    <w:link w:val="Style_28"/>
    <w:rPr>
      <w:rFonts w:ascii="XO Thames" w:hAnsi="XO Thames"/>
      <w:color w:val="000000"/>
      <w:spacing w:val="0"/>
      <w:sz w:val="22"/>
    </w:rPr>
  </w:style>
  <w:style w:styleId="Style_29" w:type="paragraph">
    <w:name w:val="Заголовок1"/>
    <w:basedOn w:val="Style_30"/>
    <w:link w:val="Style_29_ch"/>
    <w:rPr>
      <w:rFonts w:ascii="PT Astra Serif" w:hAnsi="PT Astra Serif"/>
      <w:color w:val="000000"/>
      <w:spacing w:val="0"/>
      <w:sz w:val="28"/>
    </w:rPr>
  </w:style>
  <w:style w:styleId="Style_29_ch" w:type="character">
    <w:name w:val="Заголовок1"/>
    <w:basedOn w:val="Style_30_ch"/>
    <w:link w:val="Style_29"/>
    <w:rPr>
      <w:rFonts w:ascii="PT Astra Serif" w:hAnsi="PT Astra Serif"/>
      <w:color w:val="000000"/>
      <w:spacing w:val="0"/>
      <w:sz w:val="28"/>
    </w:rPr>
  </w:style>
  <w:style w:styleId="Style_31" w:type="paragraph">
    <w:name w:val="Указатель"/>
    <w:basedOn w:val="Style_2"/>
    <w:link w:val="Style_31_ch"/>
    <w:rPr>
      <w:rFonts w:ascii="PT Astra Serif" w:hAnsi="PT Astra Serif"/>
    </w:rPr>
  </w:style>
  <w:style w:styleId="Style_31_ch" w:type="character">
    <w:name w:val="Указатель"/>
    <w:basedOn w:val="Style_2_ch"/>
    <w:link w:val="Style_31"/>
    <w:rPr>
      <w:rFonts w:ascii="PT Astra Serif" w:hAnsi="PT Astra Serif"/>
    </w:rPr>
  </w:style>
  <w:style w:styleId="Style_32" w:type="paragraph">
    <w:name w:val="toc 3"/>
    <w:next w:val="Style_2"/>
    <w:link w:val="Style_32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3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ing 5"/>
    <w:link w:val="Style_33_ch"/>
    <w:rPr>
      <w:rFonts w:ascii="XO Thames" w:hAnsi="XO Thames"/>
      <w:b w:val="1"/>
      <w:color w:val="000000"/>
      <w:spacing w:val="0"/>
      <w:sz w:val="22"/>
    </w:rPr>
  </w:style>
  <w:style w:styleId="Style_33_ch" w:type="character">
    <w:name w:val="Heading 5"/>
    <w:link w:val="Style_33"/>
    <w:rPr>
      <w:rFonts w:ascii="XO Thames" w:hAnsi="XO Thames"/>
      <w:b w:val="1"/>
      <w:color w:val="000000"/>
      <w:spacing w:val="0"/>
      <w:sz w:val="22"/>
    </w:rPr>
  </w:style>
  <w:style w:styleId="Style_30" w:type="paragraph">
    <w:name w:val="Обычный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styleId="Style_30_ch" w:type="character">
    <w:name w:val="Обычный1"/>
    <w:link w:val="Style_30"/>
    <w:rPr>
      <w:rFonts w:ascii="Liberation Serif" w:hAnsi="Liberation Serif"/>
      <w:color w:val="000000"/>
      <w:spacing w:val="0"/>
      <w:sz w:val="24"/>
    </w:rPr>
  </w:style>
  <w:style w:styleId="Style_34" w:type="paragraph">
    <w:name w:val="Caption"/>
    <w:link w:val="Style_34_ch"/>
    <w:rPr>
      <w:rFonts w:ascii="PT Astra Serif" w:hAnsi="PT Astra Serif"/>
      <w:i w:val="1"/>
      <w:sz w:val="24"/>
    </w:rPr>
  </w:style>
  <w:style w:styleId="Style_34_ch" w:type="character">
    <w:name w:val="Caption"/>
    <w:link w:val="Style_34"/>
    <w:rPr>
      <w:rFonts w:ascii="PT Astra Serif" w:hAnsi="PT Astra Serif"/>
      <w:i w:val="1"/>
      <w:sz w:val="24"/>
    </w:rPr>
  </w:style>
  <w:style w:styleId="Style_35" w:type="paragraph">
    <w:name w:val="Гиперссылка1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563C1"/>
      <w:spacing w:val="0"/>
      <w:sz w:val="22"/>
      <w:u w:val="single"/>
    </w:rPr>
  </w:style>
  <w:style w:styleId="Style_35_ch" w:type="character">
    <w:name w:val="Гиперссылка1"/>
    <w:link w:val="Style_35"/>
    <w:rPr>
      <w:rFonts w:ascii="Calibri" w:hAnsi="Calibri"/>
      <w:color w:val="0563C1"/>
      <w:spacing w:val="0"/>
      <w:sz w:val="22"/>
      <w:u w:val="single"/>
    </w:rPr>
  </w:style>
  <w:style w:styleId="Style_36" w:type="paragraph">
    <w:name w:val="Header and Footer2"/>
    <w:basedOn w:val="Style_2"/>
    <w:link w:val="Style_36_ch"/>
  </w:style>
  <w:style w:styleId="Style_36_ch" w:type="character">
    <w:name w:val="Header and Footer2"/>
    <w:basedOn w:val="Style_2_ch"/>
    <w:link w:val="Style_36"/>
  </w:style>
  <w:style w:styleId="Style_37" w:type="paragraph">
    <w:name w:val="Footer"/>
    <w:basedOn w:val="Style_24"/>
    <w:link w:val="Style_37_ch"/>
  </w:style>
  <w:style w:styleId="Style_37_ch" w:type="character">
    <w:name w:val="Footer"/>
    <w:basedOn w:val="Style_24_ch"/>
    <w:link w:val="Style_37"/>
  </w:style>
  <w:style w:styleId="Style_38" w:type="paragraph">
    <w:name w:val="heading 5"/>
    <w:next w:val="Style_2"/>
    <w:link w:val="Style_38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8_ch" w:type="character">
    <w:name w:val="heading 5"/>
    <w:link w:val="Style_38"/>
    <w:rPr>
      <w:rFonts w:ascii="XO Thames" w:hAnsi="XO Thames"/>
      <w:b w:val="1"/>
      <w:color w:val="000000"/>
      <w:spacing w:val="0"/>
      <w:sz w:val="22"/>
    </w:rPr>
  </w:style>
  <w:style w:styleId="Style_39" w:type="paragraph">
    <w:name w:val="Heading 1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9_ch" w:type="character">
    <w:name w:val="Heading 11"/>
    <w:link w:val="Style_39"/>
    <w:rPr>
      <w:rFonts w:ascii="XO Thames" w:hAnsi="XO Thames"/>
      <w:b w:val="1"/>
      <w:color w:val="000000"/>
      <w:spacing w:val="0"/>
      <w:sz w:val="32"/>
    </w:rPr>
  </w:style>
  <w:style w:styleId="Style_40" w:type="paragraph">
    <w:name w:val="Title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0_ch" w:type="character">
    <w:name w:val="Title1"/>
    <w:link w:val="Style_40"/>
    <w:rPr>
      <w:rFonts w:ascii="XO Thames" w:hAnsi="XO Thames"/>
      <w:b w:val="1"/>
      <w:caps w:val="1"/>
      <w:color w:val="000000"/>
      <w:spacing w:val="0"/>
      <w:sz w:val="40"/>
    </w:rPr>
  </w:style>
  <w:style w:styleId="Style_41" w:type="paragraph">
    <w:name w:val="Heading 2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1_ch" w:type="character">
    <w:name w:val="Heading 21"/>
    <w:link w:val="Style_41"/>
    <w:rPr>
      <w:rFonts w:ascii="XO Thames" w:hAnsi="XO Thames"/>
      <w:b w:val="1"/>
      <w:color w:val="000000"/>
      <w:spacing w:val="0"/>
      <w:sz w:val="28"/>
    </w:rPr>
  </w:style>
  <w:style w:styleId="Style_42" w:type="paragraph">
    <w:name w:val="heading 1"/>
    <w:next w:val="Style_2"/>
    <w:link w:val="Style_42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2_ch" w:type="character">
    <w:name w:val="heading 1"/>
    <w:link w:val="Style_42"/>
    <w:rPr>
      <w:rFonts w:ascii="XO Thames" w:hAnsi="XO Thames"/>
      <w:b w:val="1"/>
      <w:color w:val="000000"/>
      <w:spacing w:val="0"/>
      <w:sz w:val="32"/>
    </w:rPr>
  </w:style>
  <w:style w:styleId="Style_43" w:type="paragraph">
    <w:name w:val="Contents 8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_ch" w:type="character">
    <w:name w:val="Contents 8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Hyperlink"/>
    <w:link w:val="Style_44_ch"/>
    <w:rPr>
      <w:color w:val="0000FF"/>
      <w:u w:val="single"/>
    </w:rPr>
  </w:style>
  <w:style w:styleId="Style_44_ch" w:type="character">
    <w:name w:val="Hyperlink"/>
    <w:link w:val="Style_44"/>
    <w:rPr>
      <w:color w:val="0000FF"/>
      <w:u w:val="single"/>
    </w:rPr>
  </w:style>
  <w:style w:styleId="Style_45" w:type="paragraph">
    <w:name w:val="Footnote"/>
    <w:link w:val="Style_4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5_ch" w:type="character">
    <w:name w:val="Footnote"/>
    <w:link w:val="Style_45"/>
    <w:rPr>
      <w:rFonts w:ascii="XO Thames" w:hAnsi="XO Thames"/>
      <w:color w:val="000000"/>
      <w:spacing w:val="0"/>
      <w:sz w:val="22"/>
    </w:rPr>
  </w:style>
  <w:style w:styleId="Style_46" w:type="paragraph">
    <w:name w:val="toc 1"/>
    <w:next w:val="Style_2"/>
    <w:link w:val="Style_46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toc 1"/>
    <w:link w:val="Style_46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Standard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styleId="Style_24_ch" w:type="character">
    <w:name w:val="Standard1"/>
    <w:link w:val="Style_24"/>
    <w:rPr>
      <w:rFonts w:ascii="Liberation Serif" w:hAnsi="Liberation Serif"/>
      <w:color w:val="000000"/>
      <w:spacing w:val="0"/>
      <w:sz w:val="24"/>
    </w:rPr>
  </w:style>
  <w:style w:styleId="Style_47" w:type="paragraph">
    <w:name w:val="caption"/>
    <w:basedOn w:val="Style_2"/>
    <w:link w:val="Style_47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47_ch" w:type="character">
    <w:name w:val="caption"/>
    <w:basedOn w:val="Style_2_ch"/>
    <w:link w:val="Style_47"/>
    <w:rPr>
      <w:rFonts w:ascii="PT Astra Serif" w:hAnsi="PT Astra Serif"/>
      <w:i w:val="1"/>
    </w:rPr>
  </w:style>
  <w:style w:styleId="Style_48" w:type="paragraph">
    <w:name w:val="Header and Footer"/>
    <w:link w:val="Style_48_ch"/>
    <w:rPr>
      <w:rFonts w:ascii="XO Thames" w:hAnsi="XO Thames"/>
      <w:sz w:val="28"/>
    </w:rPr>
  </w:style>
  <w:style w:styleId="Style_48_ch" w:type="character">
    <w:name w:val="Header and Footer"/>
    <w:link w:val="Style_48"/>
    <w:rPr>
      <w:rFonts w:ascii="XO Thames" w:hAnsi="XO Thames"/>
      <w:sz w:val="28"/>
    </w:rPr>
  </w:style>
  <w:style w:styleId="Style_3" w:type="paragraph">
    <w:name w:val="Содержимое таблицы"/>
    <w:basedOn w:val="Style_2"/>
    <w:link w:val="Style_3_ch"/>
    <w:pPr>
      <w:widowControl w:val="0"/>
      <w:ind/>
    </w:pPr>
  </w:style>
  <w:style w:styleId="Style_3_ch" w:type="character">
    <w:name w:val="Содержимое таблицы"/>
    <w:basedOn w:val="Style_2_ch"/>
    <w:link w:val="Style_3"/>
  </w:style>
  <w:style w:styleId="Style_49" w:type="paragraph">
    <w:name w:val="toc 9"/>
    <w:next w:val="Style_2"/>
    <w:link w:val="Style_49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toc 9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fontstyle011"/>
    <w:link w:val="Style_50_ch"/>
    <w:pPr>
      <w:widowControl w:val="1"/>
      <w:spacing w:after="160" w:before="0" w:line="264" w:lineRule="auto"/>
      <w:ind w:firstLine="0" w:left="0" w:right="0"/>
      <w:jc w:val="left"/>
    </w:pPr>
    <w:rPr>
      <w:rFonts w:ascii="BookAntiqua" w:hAnsi="BookAntiqua"/>
      <w:color w:val="000000"/>
      <w:spacing w:val="0"/>
      <w:sz w:val="24"/>
    </w:rPr>
  </w:style>
  <w:style w:styleId="Style_50_ch" w:type="character">
    <w:name w:val="fontstyle011"/>
    <w:link w:val="Style_50"/>
    <w:rPr>
      <w:rFonts w:ascii="BookAntiqua" w:hAnsi="BookAntiqua"/>
      <w:color w:val="000000"/>
      <w:spacing w:val="0"/>
      <w:sz w:val="24"/>
    </w:rPr>
  </w:style>
  <w:style w:styleId="Style_51" w:type="paragraph">
    <w:name w:val="Contents 4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Contents 4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Contents 9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Contents 9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heading 2"/>
    <w:link w:val="Style_53_ch"/>
    <w:pPr>
      <w:widowControl w:val="1"/>
      <w:ind/>
      <w:outlineLvl w:val="1"/>
    </w:pPr>
    <w:rPr>
      <w:rFonts w:ascii="XO Thames" w:hAnsi="XO Thames"/>
      <w:b w:val="1"/>
      <w:sz w:val="28"/>
    </w:rPr>
  </w:style>
  <w:style w:styleId="Style_53_ch" w:type="character">
    <w:name w:val="heading 2"/>
    <w:link w:val="Style_53"/>
    <w:rPr>
      <w:rFonts w:ascii="XO Thames" w:hAnsi="XO Thames"/>
      <w:b w:val="1"/>
      <w:sz w:val="28"/>
    </w:rPr>
  </w:style>
  <w:style w:styleId="Style_1" w:type="paragraph">
    <w:name w:val="Header"/>
    <w:basedOn w:val="Style_24"/>
    <w:link w:val="Style_1_ch"/>
  </w:style>
  <w:style w:styleId="Style_1_ch" w:type="character">
    <w:name w:val="Header"/>
    <w:basedOn w:val="Style_24_ch"/>
    <w:link w:val="Style_1"/>
  </w:style>
  <w:style w:styleId="Style_54" w:type="paragraph">
    <w:name w:val="toc 8"/>
    <w:next w:val="Style_2"/>
    <w:link w:val="Style_54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toc 8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Default Paragraph Font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55_ch" w:type="character">
    <w:name w:val="Default Paragraph Font"/>
    <w:link w:val="Style_55"/>
    <w:rPr>
      <w:rFonts w:ascii="Calibri" w:hAnsi="Calibri"/>
      <w:color w:val="000000"/>
      <w:spacing w:val="0"/>
      <w:sz w:val="22"/>
    </w:rPr>
  </w:style>
  <w:style w:styleId="Style_56" w:type="paragraph">
    <w:name w:val="List Paragraph1"/>
    <w:basedOn w:val="Style_2"/>
    <w:link w:val="Style_56_ch"/>
    <w:pPr>
      <w:widowControl w:val="1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56_ch" w:type="character">
    <w:name w:val="List Paragraph1"/>
    <w:basedOn w:val="Style_2_ch"/>
    <w:link w:val="Style_56"/>
    <w:rPr>
      <w:rFonts w:ascii="Calibri" w:hAnsi="Calibri"/>
      <w:sz w:val="22"/>
    </w:rPr>
  </w:style>
  <w:style w:styleId="Style_57" w:type="paragraph">
    <w:name w:val="Заголовок"/>
    <w:basedOn w:val="Style_2"/>
    <w:next w:val="Style_20"/>
    <w:link w:val="Style_5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7_ch" w:type="character">
    <w:name w:val="Заголовок"/>
    <w:basedOn w:val="Style_2_ch"/>
    <w:link w:val="Style_57"/>
    <w:rPr>
      <w:rFonts w:ascii="PT Astra Serif" w:hAnsi="PT Astra Serif"/>
      <w:sz w:val="28"/>
    </w:rPr>
  </w:style>
  <w:style w:styleId="Style_58" w:type="paragraph">
    <w:name w:val="index heading"/>
    <w:basedOn w:val="Style_2"/>
    <w:link w:val="Style_58_ch"/>
    <w:rPr>
      <w:rFonts w:ascii="PT Astra Serif" w:hAnsi="PT Astra Serif"/>
    </w:rPr>
  </w:style>
  <w:style w:styleId="Style_58_ch" w:type="character">
    <w:name w:val="index heading"/>
    <w:basedOn w:val="Style_2_ch"/>
    <w:link w:val="Style_58"/>
    <w:rPr>
      <w:rFonts w:ascii="PT Astra Serif" w:hAnsi="PT Astra Serif"/>
    </w:rPr>
  </w:style>
  <w:style w:styleId="Style_59" w:type="paragraph">
    <w:name w:val="Header1"/>
    <w:basedOn w:val="Style_24"/>
    <w:link w:val="Style_59_ch"/>
  </w:style>
  <w:style w:styleId="Style_59_ch" w:type="character">
    <w:name w:val="Header1"/>
    <w:basedOn w:val="Style_24_ch"/>
    <w:link w:val="Style_59"/>
  </w:style>
  <w:style w:styleId="Style_60" w:type="paragraph">
    <w:name w:val="Contents 1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0_ch" w:type="character">
    <w:name w:val="Contents 1"/>
    <w:link w:val="Style_60"/>
    <w:rPr>
      <w:rFonts w:ascii="XO Thames" w:hAnsi="XO Thames"/>
      <w:b w:val="1"/>
      <w:color w:val="000000"/>
      <w:spacing w:val="0"/>
      <w:sz w:val="28"/>
    </w:rPr>
  </w:style>
  <w:style w:styleId="Style_61" w:type="paragraph">
    <w:name w:val="Header"/>
    <w:basedOn w:val="Style_24"/>
    <w:link w:val="Style_61_ch"/>
  </w:style>
  <w:style w:styleId="Style_61_ch" w:type="character">
    <w:name w:val="Header"/>
    <w:basedOn w:val="Style_24_ch"/>
    <w:link w:val="Style_61"/>
  </w:style>
  <w:style w:styleId="Style_62" w:type="paragraph">
    <w:name w:val="toc 5"/>
    <w:next w:val="Style_2"/>
    <w:link w:val="Style_62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toc 5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Header and Footer1"/>
    <w:basedOn w:val="Style_2"/>
    <w:link w:val="Style_63_ch"/>
  </w:style>
  <w:style w:styleId="Style_63_ch" w:type="character">
    <w:name w:val="Header and Footer1"/>
    <w:basedOn w:val="Style_2_ch"/>
    <w:link w:val="Style_63"/>
  </w:style>
  <w:style w:styleId="Style_64" w:type="paragraph">
    <w:name w:val="Contents 6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4_ch" w:type="character">
    <w:name w:val="Contents 6"/>
    <w:link w:val="Style_64"/>
    <w:rPr>
      <w:rFonts w:ascii="XO Thames" w:hAnsi="XO Thames"/>
      <w:color w:val="000000"/>
      <w:spacing w:val="0"/>
      <w:sz w:val="28"/>
    </w:rPr>
  </w:style>
  <w:style w:styleId="Style_65" w:type="paragraph">
    <w:name w:val="Subtitle"/>
    <w:next w:val="Style_2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65_ch" w:type="character">
    <w:name w:val="Subtitle"/>
    <w:link w:val="Style_65"/>
    <w:rPr>
      <w:rFonts w:ascii="XO Thames" w:hAnsi="XO Thames"/>
      <w:i w:val="1"/>
      <w:color w:val="000000"/>
      <w:spacing w:val="0"/>
      <w:sz w:val="24"/>
    </w:rPr>
  </w:style>
  <w:style w:styleId="Style_66" w:type="paragraph">
    <w:name w:val="Default Paragraph Font1"/>
    <w:link w:val="Style_66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66_ch" w:type="character">
    <w:name w:val="Default Paragraph Font1"/>
    <w:link w:val="Style_66"/>
    <w:rPr>
      <w:rFonts w:ascii="Calibri" w:hAnsi="Calibri"/>
      <w:color w:val="000000"/>
      <w:spacing w:val="0"/>
      <w:sz w:val="22"/>
    </w:rPr>
  </w:style>
  <w:style w:styleId="Style_67" w:type="paragraph">
    <w:name w:val="Subtitle"/>
    <w:link w:val="Style_67_ch"/>
    <w:uiPriority w:val="11"/>
    <w:qFormat/>
    <w:rPr>
      <w:rFonts w:ascii="XO Thames" w:hAnsi="XO Thames"/>
      <w:i w:val="1"/>
      <w:sz w:val="24"/>
    </w:rPr>
  </w:style>
  <w:style w:styleId="Style_67_ch" w:type="character">
    <w:name w:val="Subtitle"/>
    <w:link w:val="Style_67"/>
    <w:rPr>
      <w:rFonts w:ascii="XO Thames" w:hAnsi="XO Thames"/>
      <w:i w:val="1"/>
      <w:sz w:val="24"/>
    </w:rPr>
  </w:style>
  <w:style w:styleId="Style_68" w:type="paragraph">
    <w:name w:val="Колонтитул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8_ch" w:type="character">
    <w:name w:val="Колонтитул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Heading 4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69_ch" w:type="character">
    <w:name w:val="Heading 41"/>
    <w:link w:val="Style_69"/>
    <w:rPr>
      <w:rFonts w:ascii="XO Thames" w:hAnsi="XO Thames"/>
      <w:b w:val="1"/>
      <w:color w:val="000000"/>
      <w:spacing w:val="0"/>
      <w:sz w:val="24"/>
    </w:rPr>
  </w:style>
  <w:style w:styleId="Style_70" w:type="paragraph">
    <w:name w:val="Contents 3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0_ch" w:type="character">
    <w:name w:val="Contents 3"/>
    <w:link w:val="Style_70"/>
    <w:rPr>
      <w:rFonts w:ascii="XO Thames" w:hAnsi="XO Thames"/>
      <w:color w:val="000000"/>
      <w:spacing w:val="0"/>
      <w:sz w:val="28"/>
    </w:rPr>
  </w:style>
  <w:style w:styleId="Style_71" w:type="paragraph">
    <w:name w:val="Title"/>
    <w:next w:val="Style_20"/>
    <w:link w:val="Style_71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71_ch" w:type="character">
    <w:name w:val="Title"/>
    <w:link w:val="Style_71"/>
    <w:rPr>
      <w:rFonts w:ascii="XO Thames" w:hAnsi="XO Thames"/>
      <w:b w:val="1"/>
      <w:caps w:val="1"/>
      <w:color w:val="000000"/>
      <w:spacing w:val="0"/>
      <w:sz w:val="40"/>
    </w:rPr>
  </w:style>
  <w:style w:styleId="Style_72" w:type="paragraph">
    <w:name w:val="heading 4"/>
    <w:next w:val="Style_2"/>
    <w:link w:val="Style_72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2_ch" w:type="character">
    <w:name w:val="heading 4"/>
    <w:link w:val="Style_72"/>
    <w:rPr>
      <w:rFonts w:ascii="XO Thames" w:hAnsi="XO Thames"/>
      <w:b w:val="1"/>
      <w:color w:val="000000"/>
      <w:spacing w:val="0"/>
      <w:sz w:val="24"/>
    </w:rPr>
  </w:style>
  <w:style w:styleId="Style_73" w:type="paragraph">
    <w:name w:val="Contents 2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3_ch" w:type="character">
    <w:name w:val="Contents 2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heading 2"/>
    <w:next w:val="Style_2"/>
    <w:link w:val="Style_7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74_ch" w:type="character">
    <w:name w:val="heading 2"/>
    <w:link w:val="Style_74"/>
    <w:rPr>
      <w:rFonts w:ascii="XO Thames" w:hAnsi="XO Thames"/>
      <w:b w:val="1"/>
      <w:color w:val="000000"/>
      <w:spacing w:val="0"/>
      <w:sz w:val="28"/>
    </w:rPr>
  </w:style>
  <w:style w:styleId="Style_75" w:type="paragraph">
    <w:name w:val="Footer"/>
    <w:basedOn w:val="Style_24"/>
    <w:link w:val="Style_75_ch"/>
  </w:style>
  <w:style w:styleId="Style_75_ch" w:type="character">
    <w:name w:val="Footer"/>
    <w:basedOn w:val="Style_24_ch"/>
    <w:link w:val="Style_75"/>
  </w:style>
  <w:style w:styleId="Style_76" w:type="paragraph">
    <w:name w:val="Subtitle1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76_ch" w:type="character">
    <w:name w:val="Subtitle1"/>
    <w:link w:val="Style_76"/>
    <w:rPr>
      <w:rFonts w:ascii="XO Thames" w:hAnsi="XO Thames"/>
      <w:i w:val="1"/>
      <w:color w:val="000000"/>
      <w:spacing w:val="0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2026-06-24T13:44:37Z</dcterms:created>
  <dcterms:modified xsi:type="dcterms:W3CDTF">2026-07-23T05:51:21Z</dcterms:modified>
</cp:coreProperties>
</file>