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 xml:space="preserve">Инструкция по загрузке контрактов, заключенных в 2024 году и ранее </w:t>
      </w:r>
    </w:p>
    <w:p w14:paraId="06000000">
      <w:pPr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с оплатой в 2025</w:t>
      </w:r>
      <w:r>
        <w:rPr>
          <w:rFonts w:ascii="Times New Roman" w:hAnsi="Times New Roman"/>
          <w:b w:val="1"/>
          <w:sz w:val="32"/>
        </w:rPr>
        <w:t xml:space="preserve"> </w:t>
      </w:r>
      <w:r>
        <w:rPr>
          <w:rFonts w:ascii="Times New Roman" w:hAnsi="Times New Roman"/>
          <w:b w:val="1"/>
          <w:sz w:val="32"/>
        </w:rPr>
        <w:t>году и плановых периодах</w:t>
      </w:r>
    </w:p>
    <w:p w14:paraId="07000000">
      <w:pPr>
        <w:rPr>
          <w:rFonts w:ascii="Times New Roman" w:hAnsi="Times New Roman"/>
        </w:rPr>
      </w:pPr>
    </w:p>
    <w:p w14:paraId="08000000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Перейти в пункт меню «Исполнение контрактов»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-&gt;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«Контракт»</w:t>
      </w:r>
    </w:p>
    <w:p w14:paraId="09000000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правом верхнем углу нажать кнопку «Добавить»</w:t>
      </w:r>
    </w:p>
    <w:p w14:paraId="0A000000">
      <w:pPr>
        <w:rPr>
          <w:rFonts w:ascii="Times New Roman" w:hAnsi="Times New Roman"/>
        </w:rPr>
      </w:pPr>
    </w:p>
    <w:p w14:paraId="0B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9864821" cy="451253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9864821" cy="45125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00000">
      <w:pPr>
        <w:sectPr>
          <w:footerReference r:id="rId1" w:type="default"/>
          <w:pgSz w:h="11908" w:orient="landscape" w:w="16848"/>
          <w:pgMar w:bottom="1134" w:footer="720" w:gutter="0" w:header="720" w:left="595" w:right="397" w:top="1134"/>
        </w:sectPr>
      </w:pPr>
    </w:p>
    <w:p w14:paraId="0D000000">
      <w:pPr>
        <w:rPr>
          <w:rFonts w:ascii="Times New Roman" w:hAnsi="Times New Roman"/>
        </w:rPr>
      </w:pPr>
      <w:r>
        <w:rPr>
          <w:rFonts w:ascii="Times New Roman" w:hAnsi="Times New Roman"/>
        </w:rPr>
        <w:t>В открывшемся документе в разделе «Общая информация»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-&gt;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«Общие данные» заполнить поля 1-8. Если поле 1 автоматически заполнено верно, то его заполнять не</w:t>
      </w:r>
      <w:r>
        <w:rPr>
          <w:rFonts w:ascii="Times New Roman" w:hAnsi="Times New Roman"/>
        </w:rPr>
        <w:t xml:space="preserve"> нужно. </w:t>
      </w:r>
    </w:p>
    <w:p w14:paraId="0E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931580" cy="6359982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931580" cy="63599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>
      <w:pPr>
        <w:rPr>
          <w:rFonts w:ascii="Times New Roman" w:hAnsi="Times New Roman"/>
        </w:rPr>
      </w:pPr>
    </w:p>
    <w:p w14:paraId="10000000">
      <w:pPr>
        <w:ind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1000000">
      <w:pPr>
        <w:rPr>
          <w:rFonts w:ascii="Times New Roman" w:hAnsi="Times New Roman"/>
        </w:rPr>
      </w:pPr>
      <w:r>
        <w:rPr>
          <w:rFonts w:ascii="Times New Roman" w:hAnsi="Times New Roman"/>
        </w:rPr>
        <w:t>В противном случае выбираем своё учреждение из справочника, нажав на «три точки»</w:t>
      </w:r>
    </w:p>
    <w:p w14:paraId="12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931580" cy="550398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931580" cy="5503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3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931580" cy="317649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931580" cy="31764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000000">
      <w:pPr>
        <w:rPr>
          <w:rFonts w:ascii="Times New Roman" w:hAnsi="Times New Roman"/>
        </w:rPr>
      </w:pPr>
    </w:p>
    <w:p w14:paraId="15000000">
      <w:pPr>
        <w:ind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6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Поля </w:t>
      </w:r>
      <w:r>
        <w:rPr>
          <w:rFonts w:ascii="Times New Roman" w:hAnsi="Times New Roman"/>
        </w:rPr>
        <w:t xml:space="preserve">2 - 7 можно взять в открытой части реестра контрактов в ЕИС на вкладке «Общая информация» карточки Контракта. </w:t>
      </w:r>
    </w:p>
    <w:p w14:paraId="17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931580" cy="4497153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931580" cy="449715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18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931580" cy="4131776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931580" cy="41317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Поле 8 заполняется информацией из условий контракта. </w:t>
      </w:r>
    </w:p>
    <w:p w14:paraId="1A000000">
      <w:pPr>
        <w:ind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B000000">
      <w:pPr>
        <w:rPr>
          <w:rFonts w:ascii="Times New Roman" w:hAnsi="Times New Roman"/>
        </w:rPr>
      </w:pPr>
      <w:r>
        <w:rPr>
          <w:rFonts w:ascii="Times New Roman" w:hAnsi="Times New Roman"/>
        </w:rPr>
        <w:t>В разделе «Общая информация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-&gt;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</w:t>
      </w:r>
      <w:r>
        <w:rPr>
          <w:rFonts w:ascii="Times New Roman" w:hAnsi="Times New Roman"/>
        </w:rPr>
        <w:t>Сведения о контракте в ЕИС» проверяем поля 9 и 10.</w:t>
      </w:r>
    </w:p>
    <w:p w14:paraId="1C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931580" cy="3461972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931580" cy="34619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Если поля не </w:t>
      </w:r>
      <w:r>
        <w:rPr>
          <w:rFonts w:ascii="Times New Roman" w:hAnsi="Times New Roman"/>
        </w:rPr>
        <w:t>предзаполнены</w:t>
      </w:r>
      <w:r>
        <w:rPr>
          <w:rFonts w:ascii="Times New Roman" w:hAnsi="Times New Roman"/>
        </w:rPr>
        <w:t>, то выбираем значения из справочников.</w:t>
      </w:r>
    </w:p>
    <w:p w14:paraId="1E000000">
      <w:pPr>
        <w:rPr>
          <w:rFonts w:ascii="Times New Roman" w:hAnsi="Times New Roman"/>
        </w:rPr>
      </w:pPr>
    </w:p>
    <w:p w14:paraId="1F000000">
      <w:pPr>
        <w:ind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0000000">
      <w:pPr>
        <w:rPr>
          <w:rFonts w:ascii="Times New Roman" w:hAnsi="Times New Roman"/>
        </w:rPr>
      </w:pPr>
      <w:r>
        <w:rPr>
          <w:rFonts w:ascii="Times New Roman" w:hAnsi="Times New Roman"/>
        </w:rPr>
        <w:t>Для поля 9 выбираем своё учреждение. Для этого в отк</w:t>
      </w:r>
      <w:r>
        <w:rPr>
          <w:rFonts w:ascii="Times New Roman" w:hAnsi="Times New Roman"/>
        </w:rPr>
        <w:t>рывшемся окне очищаем фильтр.</w:t>
      </w:r>
    </w:p>
    <w:p w14:paraId="21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931580" cy="3329462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931580" cy="33294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2000000">
      <w:pPr>
        <w:rPr>
          <w:rFonts w:ascii="Times New Roman" w:hAnsi="Times New Roman"/>
        </w:rPr>
      </w:pPr>
      <w:r>
        <w:rPr>
          <w:rFonts w:ascii="Times New Roman" w:hAnsi="Times New Roman"/>
        </w:rPr>
        <w:t>Выбираем своё учреждение.</w:t>
      </w:r>
    </w:p>
    <w:p w14:paraId="23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931580" cy="3140932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6931580" cy="314093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00000">
      <w:pPr>
        <w:rPr>
          <w:rFonts w:ascii="Times New Roman" w:hAnsi="Times New Roman"/>
        </w:rPr>
      </w:pPr>
      <w:r>
        <w:br w:type="page"/>
      </w:r>
      <w:r>
        <w:rPr>
          <w:rFonts w:ascii="Times New Roman" w:hAnsi="Times New Roman"/>
        </w:rPr>
        <w:t>Для поля 10 выбираем роль «Заказчик»</w:t>
      </w:r>
    </w:p>
    <w:p w14:paraId="25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931580" cy="3166463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6931580" cy="31664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6000000">
      <w:pPr>
        <w:rPr>
          <w:rFonts w:ascii="Times New Roman" w:hAnsi="Times New Roman"/>
        </w:rPr>
      </w:pPr>
      <w:r>
        <w:rPr>
          <w:rFonts w:ascii="Times New Roman" w:hAnsi="Times New Roman"/>
        </w:rPr>
        <w:t>Нажимаем «Применить».</w:t>
      </w:r>
    </w:p>
    <w:p w14:paraId="27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045755" cy="5628297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6045755" cy="562829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8000000">
      <w:pPr>
        <w:rPr>
          <w:rFonts w:ascii="Times New Roman" w:hAnsi="Times New Roman"/>
        </w:rPr>
      </w:pPr>
    </w:p>
    <w:p w14:paraId="29000000">
      <w:pPr>
        <w:rPr>
          <w:rFonts w:ascii="Times New Roman" w:hAnsi="Times New Roman"/>
        </w:rPr>
      </w:pPr>
      <w:r>
        <w:br w:type="page"/>
      </w:r>
      <w:r>
        <w:rPr>
          <w:rFonts w:ascii="Times New Roman" w:hAnsi="Times New Roman"/>
        </w:rPr>
        <w:t>В меню переходов по статусной модели нажимаем «три точки» и переходим на статус «Загрузить из ЕИС», после чего сохраняем документ.</w:t>
      </w:r>
    </w:p>
    <w:p w14:paraId="2A000000">
      <w:pPr>
        <w:rPr>
          <w:rFonts w:ascii="Times New Roman" w:hAnsi="Times New Roman"/>
        </w:rPr>
      </w:pPr>
    </w:p>
    <w:p w14:paraId="2B000000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6931580" cy="6349802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6931580" cy="63498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00000">
      <w:pPr>
        <w:rPr>
          <w:rFonts w:ascii="Times New Roman" w:hAnsi="Times New Roman"/>
        </w:rPr>
      </w:pPr>
      <w:r>
        <w:rPr>
          <w:rFonts w:ascii="Times New Roman" w:hAnsi="Times New Roman"/>
        </w:rPr>
        <w:t>Переходим к следующему Контракту.</w:t>
      </w:r>
    </w:p>
    <w:p w14:paraId="2D000000">
      <w:pPr>
        <w:rPr>
          <w:rFonts w:ascii="Times New Roman" w:hAnsi="Times New Roman"/>
        </w:rPr>
      </w:pPr>
    </w:p>
    <w:p w14:paraId="2E000000"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ВНИМАНИЕ!</w:t>
      </w:r>
      <w:bookmarkStart w:id="1" w:name="_GoBack"/>
      <w:bookmarkEnd w:id="1"/>
    </w:p>
    <w:p w14:paraId="2F000000">
      <w:pPr>
        <w:rPr>
          <w:rFonts w:ascii="Times New Roman" w:hAnsi="Times New Roman"/>
        </w:rPr>
      </w:pPr>
      <w:r>
        <w:rPr>
          <w:rFonts w:ascii="Times New Roman" w:hAnsi="Times New Roman"/>
        </w:rPr>
        <w:t>В систему должны быть занесены ВСЕ контракты, заключенные в 2024 году и ранее, оплата по которым будет производиться в 2025 году и плановых периодах.</w:t>
      </w:r>
    </w:p>
    <w:p w14:paraId="30000000">
      <w:pPr>
        <w:rPr>
          <w:rFonts w:ascii="Times New Roman" w:hAnsi="Times New Roman"/>
        </w:rPr>
      </w:pPr>
    </w:p>
    <w:p w14:paraId="31000000">
      <w:pPr>
        <w:rPr>
          <w:rFonts w:ascii="Times New Roman" w:hAnsi="Times New Roman"/>
        </w:rPr>
      </w:pPr>
      <w:r>
        <w:rPr>
          <w:rFonts w:ascii="Times New Roman" w:hAnsi="Times New Roman"/>
        </w:rPr>
        <w:t>Далее Контракты будут поставлены в очередь на загрузку. Загруженные контракты будут переведены на статус «Загружен из ЕИС». Необходимо проверить корректность загруженных данных. В случае обнаружения ошибок – обратиться к администраторам системы в администр</w:t>
      </w:r>
      <w:r>
        <w:rPr>
          <w:rFonts w:ascii="Times New Roman" w:hAnsi="Times New Roman"/>
        </w:rPr>
        <w:t>ации города Магнитогорска.</w:t>
      </w:r>
    </w:p>
    <w:p w14:paraId="32000000">
      <w:pPr>
        <w:rPr>
          <w:rFonts w:ascii="Times New Roman" w:hAnsi="Times New Roman"/>
        </w:rPr>
      </w:pPr>
    </w:p>
    <w:p w14:paraId="33000000">
      <w:pPr>
        <w:rPr>
          <w:rFonts w:ascii="Times New Roman" w:hAnsi="Times New Roman"/>
        </w:rPr>
      </w:pPr>
      <w:r>
        <w:rPr>
          <w:rFonts w:ascii="Times New Roman" w:hAnsi="Times New Roman"/>
        </w:rPr>
        <w:t>После доведения Управлением финансов бюджетных ассигнований и лимитов бюджетных обязательств до ГРБС и утверждения ПФХД на 2025-2027</w:t>
      </w:r>
      <w:r>
        <w:rPr>
          <w:rFonts w:ascii="Times New Roman" w:hAnsi="Times New Roman"/>
        </w:rPr>
        <w:t>г</w:t>
      </w:r>
      <w:r>
        <w:rPr>
          <w:rFonts w:ascii="Times New Roman" w:hAnsi="Times New Roman"/>
        </w:rPr>
        <w:t xml:space="preserve">г., в Контрактах на статусе </w:t>
      </w:r>
      <w:r>
        <w:rPr>
          <w:rFonts w:ascii="Times New Roman" w:hAnsi="Times New Roman"/>
        </w:rPr>
        <w:t>«Загружен из ЕИС» необходимо указать расширенные строки финансиро</w:t>
      </w:r>
      <w:r>
        <w:rPr>
          <w:rFonts w:ascii="Times New Roman" w:hAnsi="Times New Roman"/>
        </w:rPr>
        <w:t xml:space="preserve">вания (с учётом всех аналитических кодов) в разделе «Финансирование». После чего такой контракт необходимо Обработать. В случае отсутствия ошибок он перейдёт на статус «Зарегистрирован в ЕИС». Затем «Отправить в АЦК-Финансы». Успешно отправленный </w:t>
      </w:r>
      <w:r>
        <w:rPr>
          <w:rFonts w:ascii="Times New Roman" w:hAnsi="Times New Roman"/>
        </w:rPr>
        <w:t>в АЦК-Фи</w:t>
      </w:r>
      <w:r>
        <w:rPr>
          <w:rFonts w:ascii="Times New Roman" w:hAnsi="Times New Roman"/>
        </w:rPr>
        <w:t>нансы Контракт перейдёт на статус «Исполнение».</w:t>
      </w:r>
    </w:p>
    <w:sectPr>
      <w:footerReference r:id="rId2" w:type="default"/>
      <w:pgSz w:h="16848" w:orient="portrait" w:w="11908"/>
      <w:pgMar w:bottom="832" w:footer="720" w:gutter="0" w:header="720" w:left="595" w:right="397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center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wrapSquare distB="0" distL="114300" distR="11430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00000">
                          <w:pPr>
                            <w:pStyle w:val="Style_2"/>
                            <w:ind/>
                            <w:jc w:val="center"/>
                            <w:rPr>
                              <w:rFonts w:ascii="XO Thames" w:hAnsi="XO Thames"/>
                              <w:color w:val="000000"/>
                            </w:rPr>
                          </w:pPr>
                          <w:r>
                            <w:rPr>
                              <w:rFonts w:ascii="XO Thames" w:hAnsi="XO Thames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Fonts w:ascii="XO Thames" w:hAnsi="XO Thames"/>
                              <w:color w:val="000000"/>
                            </w:rPr>
                            <w:instrText>PAGE \* Arabic</w:instrText>
                          </w:r>
                          <w:r>
                            <w:rPr>
                              <w:rFonts w:ascii="XO Thames" w:hAnsi="XO Thames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Fonts w:ascii="XO Thames" w:hAnsi="XO Thames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XO Thames" w:hAnsi="XO Thames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anchor="ctr" anchorCtr="true" bIns="45720" lIns="91440" rIns="91440" tIns="45720" vert="horz" wrap="none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ind/>
      <w:jc w:val="center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wrapSquare distB="0" distL="114300" distR="11430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000000">
                          <w:pPr>
                            <w:pStyle w:val="Style_2"/>
                            <w:ind/>
                            <w:jc w:val="center"/>
                            <w:rPr>
                              <w:rFonts w:ascii="XO Thames" w:hAnsi="XO Thames"/>
                              <w:color w:val="000000"/>
                            </w:rPr>
                          </w:pPr>
                          <w:r>
                            <w:rPr>
                              <w:rFonts w:ascii="XO Thames" w:hAnsi="XO Thames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Fonts w:ascii="XO Thames" w:hAnsi="XO Thames"/>
                              <w:color w:val="000000"/>
                            </w:rPr>
                            <w:instrText>PAGE \* Arabic</w:instrText>
                          </w:r>
                          <w:r>
                            <w:rPr>
                              <w:rFonts w:ascii="XO Thames" w:hAnsi="XO Thames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Fonts w:ascii="XO Thames" w:hAnsi="XO Thames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XO Thames" w:hAnsi="XO Thames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anchor="ctr" anchorCtr="true" bIns="45720" lIns="91440" rIns="91440" tIns="45720" vert="horz" wrap="none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ind/>
      <w:jc w:val="both"/>
    </w:pPr>
    <w:rPr>
      <w:sz w:val="28"/>
    </w:rPr>
  </w:style>
  <w:style w:default="1" w:styleId="Style_2_ch" w:type="character">
    <w:name w:val="Normal"/>
    <w:link w:val="Style_2"/>
    <w:rPr>
      <w:sz w:val="28"/>
    </w:rPr>
  </w:style>
  <w:style w:styleId="Style_3" w:type="paragraph">
    <w:name w:val="toc 2"/>
    <w:next w:val="Style_2"/>
    <w:link w:val="Style_3_ch"/>
    <w:uiPriority w:val="39"/>
    <w:pPr>
      <w:ind w:firstLine="0" w:left="200"/>
    </w:pPr>
    <w:rPr>
      <w:sz w:val="28"/>
    </w:rPr>
  </w:style>
  <w:style w:styleId="Style_3_ch" w:type="character">
    <w:name w:val="toc 2"/>
    <w:link w:val="Style_3"/>
    <w:rPr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</w:pPr>
    <w:rPr>
      <w:sz w:val="28"/>
    </w:rPr>
  </w:style>
  <w:style w:styleId="Style_4_ch" w:type="character">
    <w:name w:val="toc 4"/>
    <w:link w:val="Style_4"/>
    <w:rPr>
      <w:sz w:val="28"/>
    </w:rPr>
  </w:style>
  <w:style w:styleId="Style_5" w:type="paragraph">
    <w:name w:val="Обычный1"/>
    <w:link w:val="Style_5_ch"/>
    <w:rPr>
      <w:rFonts w:ascii="XO Thames" w:hAnsi="XO Thames"/>
      <w:sz w:val="28"/>
    </w:rPr>
  </w:style>
  <w:style w:styleId="Style_5_ch" w:type="character">
    <w:name w:val="Обычный1"/>
    <w:link w:val="Style_5"/>
    <w:rPr>
      <w:rFonts w:ascii="XO Thames" w:hAnsi="XO Thames"/>
      <w:sz w:val="28"/>
    </w:rPr>
  </w:style>
  <w:style w:styleId="Style_6" w:type="paragraph">
    <w:name w:val="toc 6"/>
    <w:next w:val="Style_2"/>
    <w:link w:val="Style_6_ch"/>
    <w:uiPriority w:val="39"/>
    <w:pPr>
      <w:ind w:firstLine="0" w:left="1000"/>
    </w:pPr>
    <w:rPr>
      <w:sz w:val="28"/>
    </w:rPr>
  </w:style>
  <w:style w:styleId="Style_6_ch" w:type="character">
    <w:name w:val="toc 6"/>
    <w:link w:val="Style_6"/>
    <w:rPr>
      <w:sz w:val="28"/>
    </w:rPr>
  </w:style>
  <w:style w:styleId="Style_7" w:type="paragraph">
    <w:name w:val="toc 7"/>
    <w:next w:val="Style_2"/>
    <w:link w:val="Style_7_ch"/>
    <w:uiPriority w:val="39"/>
    <w:pPr>
      <w:ind w:firstLine="0" w:left="1200"/>
    </w:pPr>
    <w:rPr>
      <w:sz w:val="28"/>
    </w:rPr>
  </w:style>
  <w:style w:styleId="Style_7_ch" w:type="character">
    <w:name w:val="toc 7"/>
    <w:link w:val="Style_7"/>
    <w:rPr>
      <w:sz w:val="28"/>
    </w:rPr>
  </w:style>
  <w:style w:styleId="Style_8" w:type="paragraph">
    <w:name w:val="Endnote"/>
    <w:link w:val="Style_8_ch"/>
    <w:pPr>
      <w:ind w:firstLine="851" w:left="0"/>
      <w:jc w:val="both"/>
    </w:pPr>
    <w:rPr>
      <w:sz w:val="22"/>
    </w:rPr>
  </w:style>
  <w:style w:styleId="Style_8_ch" w:type="character">
    <w:name w:val="Endnote"/>
    <w:link w:val="Style_8"/>
    <w:rPr>
      <w:sz w:val="22"/>
    </w:rPr>
  </w:style>
  <w:style w:styleId="Style_9" w:type="paragraph">
    <w:name w:val="heading 3"/>
    <w:next w:val="Style_2"/>
    <w:link w:val="Style_9_ch"/>
    <w:uiPriority w:val="9"/>
    <w:qFormat/>
    <w:pPr>
      <w:spacing w:after="120" w:before="120"/>
      <w:ind/>
      <w:jc w:val="both"/>
      <w:outlineLvl w:val="2"/>
    </w:pPr>
    <w:rPr>
      <w:b w:val="1"/>
      <w:sz w:val="26"/>
    </w:rPr>
  </w:style>
  <w:style w:styleId="Style_9_ch" w:type="character">
    <w:name w:val="heading 3"/>
    <w:link w:val="Style_9"/>
    <w:rPr>
      <w:b w:val="1"/>
      <w:sz w:val="26"/>
    </w:rPr>
  </w:style>
  <w:style w:styleId="Style_10" w:type="paragraph">
    <w:name w:val="toc 3"/>
    <w:next w:val="Style_2"/>
    <w:link w:val="Style_10_ch"/>
    <w:uiPriority w:val="39"/>
    <w:pPr>
      <w:ind w:firstLine="0" w:left="400"/>
    </w:pPr>
    <w:rPr>
      <w:sz w:val="28"/>
    </w:rPr>
  </w:style>
  <w:style w:styleId="Style_10_ch" w:type="character">
    <w:name w:val="toc 3"/>
    <w:link w:val="Style_10"/>
    <w:rPr>
      <w:sz w:val="28"/>
    </w:rPr>
  </w:style>
  <w:style w:styleId="Style_11" w:type="paragraph">
    <w:name w:val="heading 5"/>
    <w:next w:val="Style_2"/>
    <w:link w:val="Style_11_ch"/>
    <w:uiPriority w:val="9"/>
    <w:qFormat/>
    <w:pPr>
      <w:spacing w:after="120" w:before="120"/>
      <w:ind/>
      <w:jc w:val="both"/>
      <w:outlineLvl w:val="4"/>
    </w:pPr>
    <w:rPr>
      <w:b w:val="1"/>
      <w:sz w:val="22"/>
    </w:rPr>
  </w:style>
  <w:style w:styleId="Style_11_ch" w:type="character">
    <w:name w:val="heading 5"/>
    <w:link w:val="Style_11"/>
    <w:rPr>
      <w:b w:val="1"/>
      <w:sz w:val="22"/>
    </w:rPr>
  </w:style>
  <w:style w:styleId="Style_12" w:type="paragraph">
    <w:name w:val="heading 1"/>
    <w:next w:val="Style_2"/>
    <w:link w:val="Style_12_ch"/>
    <w:uiPriority w:val="9"/>
    <w:qFormat/>
    <w:pPr>
      <w:spacing w:after="120" w:before="120"/>
      <w:ind/>
      <w:jc w:val="both"/>
      <w:outlineLvl w:val="0"/>
    </w:pPr>
    <w:rPr>
      <w:b w:val="1"/>
      <w:sz w:val="32"/>
    </w:rPr>
  </w:style>
  <w:style w:styleId="Style_12_ch" w:type="character">
    <w:name w:val="heading 1"/>
    <w:link w:val="Style_12"/>
    <w:rPr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sz w:val="22"/>
    </w:rPr>
  </w:style>
  <w:style w:styleId="Style_14_ch" w:type="character">
    <w:name w:val="Footnote"/>
    <w:link w:val="Style_14"/>
    <w:rPr>
      <w:sz w:val="22"/>
    </w:rPr>
  </w:style>
  <w:style w:styleId="Style_15" w:type="paragraph">
    <w:name w:val="toc 1"/>
    <w:next w:val="Style_2"/>
    <w:link w:val="Style_15_ch"/>
    <w:uiPriority w:val="39"/>
    <w:rPr>
      <w:b w:val="1"/>
      <w:sz w:val="28"/>
    </w:rPr>
  </w:style>
  <w:style w:styleId="Style_15_ch" w:type="character">
    <w:name w:val="toc 1"/>
    <w:link w:val="Style_15"/>
    <w:rPr>
      <w:b w:val="1"/>
      <w:sz w:val="28"/>
    </w:rPr>
  </w:style>
  <w:style w:styleId="Style_1" w:type="paragraph">
    <w:name w:val="Header and Footer"/>
    <w:link w:val="Style_1_ch"/>
    <w:pPr>
      <w:ind/>
      <w:jc w:val="both"/>
    </w:pPr>
    <w:rPr>
      <w:sz w:val="28"/>
    </w:rPr>
  </w:style>
  <w:style w:styleId="Style_1_ch" w:type="character">
    <w:name w:val="Header and Footer"/>
    <w:link w:val="Style_1"/>
    <w:rPr>
      <w:sz w:val="28"/>
    </w:rPr>
  </w:style>
  <w:style w:styleId="Style_16" w:type="paragraph">
    <w:name w:val="Гиперссылка1"/>
    <w:link w:val="Style_16_ch"/>
    <w:rPr>
      <w:color w:val="0000FF"/>
      <w:u w:val="single"/>
    </w:rPr>
  </w:style>
  <w:style w:styleId="Style_16_ch" w:type="character">
    <w:name w:val="Гиперссылка1"/>
    <w:link w:val="Style_16"/>
    <w:rPr>
      <w:color w:val="0000FF"/>
      <w:u w:val="single"/>
    </w:rPr>
  </w:style>
  <w:style w:styleId="Style_17" w:type="paragraph">
    <w:name w:val="toc 9"/>
    <w:next w:val="Style_2"/>
    <w:link w:val="Style_17_ch"/>
    <w:uiPriority w:val="39"/>
    <w:pPr>
      <w:ind w:firstLine="0" w:left="1600"/>
    </w:pPr>
    <w:rPr>
      <w:sz w:val="28"/>
    </w:rPr>
  </w:style>
  <w:style w:styleId="Style_17_ch" w:type="character">
    <w:name w:val="toc 9"/>
    <w:link w:val="Style_17"/>
    <w:rPr>
      <w:sz w:val="28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toc 8"/>
    <w:next w:val="Style_2"/>
    <w:link w:val="Style_19_ch"/>
    <w:uiPriority w:val="39"/>
    <w:pPr>
      <w:ind w:firstLine="0" w:left="1400"/>
    </w:pPr>
    <w:rPr>
      <w:sz w:val="28"/>
    </w:rPr>
  </w:style>
  <w:style w:styleId="Style_19_ch" w:type="character">
    <w:name w:val="toc 8"/>
    <w:link w:val="Style_19"/>
    <w:rPr>
      <w:sz w:val="28"/>
    </w:rPr>
  </w:style>
  <w:style w:styleId="Style_20" w:type="paragraph">
    <w:name w:val="toc 5"/>
    <w:next w:val="Style_2"/>
    <w:link w:val="Style_20_ch"/>
    <w:uiPriority w:val="39"/>
    <w:pPr>
      <w:ind w:firstLine="0" w:left="800"/>
    </w:pPr>
    <w:rPr>
      <w:sz w:val="28"/>
    </w:rPr>
  </w:style>
  <w:style w:styleId="Style_20_ch" w:type="character">
    <w:name w:val="toc 5"/>
    <w:link w:val="Style_20"/>
    <w:rPr>
      <w:sz w:val="28"/>
    </w:rPr>
  </w:style>
  <w:style w:styleId="Style_21" w:type="paragraph">
    <w:name w:val="Subtitle"/>
    <w:next w:val="Style_2"/>
    <w:link w:val="Style_21_ch"/>
    <w:uiPriority w:val="11"/>
    <w:qFormat/>
    <w:pPr>
      <w:ind/>
      <w:jc w:val="both"/>
    </w:pPr>
    <w:rPr>
      <w:i w:val="1"/>
    </w:rPr>
  </w:style>
  <w:style w:styleId="Style_21_ch" w:type="character">
    <w:name w:val="Subtitle"/>
    <w:link w:val="Style_21"/>
    <w:rPr>
      <w:i w:val="1"/>
    </w:rPr>
  </w:style>
  <w:style w:styleId="Style_22" w:type="paragraph">
    <w:name w:val="Title"/>
    <w:next w:val="Style_2"/>
    <w:link w:val="Style_22_ch"/>
    <w:uiPriority w:val="10"/>
    <w:qFormat/>
    <w:pPr>
      <w:spacing w:after="567" w:before="567"/>
      <w:ind/>
      <w:jc w:val="center"/>
    </w:pPr>
    <w:rPr>
      <w:b w:val="1"/>
      <w:caps w:val="1"/>
      <w:sz w:val="40"/>
    </w:rPr>
  </w:style>
  <w:style w:styleId="Style_22_ch" w:type="character">
    <w:name w:val="Title"/>
    <w:link w:val="Style_22"/>
    <w:rPr>
      <w:b w:val="1"/>
      <w:caps w:val="1"/>
      <w:sz w:val="40"/>
    </w:rPr>
  </w:style>
  <w:style w:styleId="Style_23" w:type="paragraph">
    <w:name w:val="heading 4"/>
    <w:next w:val="Style_2"/>
    <w:link w:val="Style_23_ch"/>
    <w:uiPriority w:val="9"/>
    <w:qFormat/>
    <w:pPr>
      <w:spacing w:after="120" w:before="120"/>
      <w:ind/>
      <w:jc w:val="both"/>
      <w:outlineLvl w:val="3"/>
    </w:pPr>
    <w:rPr>
      <w:b w:val="1"/>
    </w:rPr>
  </w:style>
  <w:style w:styleId="Style_23_ch" w:type="character">
    <w:name w:val="heading 4"/>
    <w:link w:val="Style_23"/>
    <w:rPr>
      <w:b w:val="1"/>
    </w:rPr>
  </w:style>
  <w:style w:styleId="Style_24" w:type="paragraph">
    <w:name w:val="heading 2"/>
    <w:next w:val="Style_2"/>
    <w:link w:val="Style_24_ch"/>
    <w:uiPriority w:val="9"/>
    <w:qFormat/>
    <w:pPr>
      <w:spacing w:after="120" w:before="120"/>
      <w:ind/>
      <w:jc w:val="both"/>
      <w:outlineLvl w:val="1"/>
    </w:pPr>
    <w:rPr>
      <w:b w:val="1"/>
      <w:sz w:val="28"/>
    </w:rPr>
  </w:style>
  <w:style w:styleId="Style_24_ch" w:type="character">
    <w:name w:val="heading 2"/>
    <w:link w:val="Style_24"/>
    <w:rPr>
      <w:b w:val="1"/>
      <w:sz w:val="28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styles.xml" Type="http://schemas.openxmlformats.org/officeDocument/2006/relationships/styles"/>
  <Relationship Id="rId7" Target="media/5.png" Type="http://schemas.openxmlformats.org/officeDocument/2006/relationships/image"/>
  <Relationship Id="rId6" Target="media/4.png" Type="http://schemas.openxmlformats.org/officeDocument/2006/relationships/image"/>
  <Relationship Id="rId14" Target="media/12.png" Type="http://schemas.openxmlformats.org/officeDocument/2006/relationships/image"/>
  <Relationship Id="rId13" Target="media/11.png" Type="http://schemas.openxmlformats.org/officeDocument/2006/relationships/image"/>
  <Relationship Id="rId18" Target="stylesWithEffects.xml" Type="http://schemas.microsoft.com/office/2007/relationships/stylesWithEffects"/>
  <Relationship Id="rId4" Target="media/2.png" Type="http://schemas.openxmlformats.org/officeDocument/2006/relationships/image"/>
  <Relationship Id="rId3" Target="media/1.png" Type="http://schemas.openxmlformats.org/officeDocument/2006/relationships/image"/>
  <Relationship Id="rId12" Target="media/10.png" Type="http://schemas.openxmlformats.org/officeDocument/2006/relationships/image"/>
  <Relationship Id="rId10" Target="media/8.png" Type="http://schemas.openxmlformats.org/officeDocument/2006/relationships/image"/>
  <Relationship Id="rId19" Target="webSettings.xml" Type="http://schemas.openxmlformats.org/officeDocument/2006/relationships/webSettings"/>
  <Relationship Id="rId5" Target="media/3.png" Type="http://schemas.openxmlformats.org/officeDocument/2006/relationships/image"/>
  <Relationship Id="rId11" Target="media/9.png" Type="http://schemas.openxmlformats.org/officeDocument/2006/relationships/image"/>
  <Relationship Id="rId8" Target="media/6.png" Type="http://schemas.openxmlformats.org/officeDocument/2006/relationships/image"/>
  <Relationship Id="rId16" Target="settings.xml" Type="http://schemas.openxmlformats.org/officeDocument/2006/relationships/settings"/>
  <Relationship Id="rId20" Target="theme/theme1.xml" Type="http://schemas.openxmlformats.org/officeDocument/2006/relationships/theme"/>
  <Relationship Id="rId2" Target="footer2.xml" Type="http://schemas.openxmlformats.org/officeDocument/2006/relationships/footer"/>
  <Relationship Id="rId21" Target="numbering.xml" Type="http://schemas.openxmlformats.org/officeDocument/2006/relationships/numbering"/>
  <Relationship Id="rId9" Target="media/7.png" Type="http://schemas.openxmlformats.org/officeDocument/2006/relationships/image"/>
  <Relationship Id="rId15" Target="fontTable.xml" Type="http://schemas.openxmlformats.org/officeDocument/2006/relationships/fontTabl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MyOffice-CoreFramework-Windows/33-1224.848.9398.852.1@81d08b7ef3bfedd37921072551876f29ab5b92ed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2024-12-11T09:28:15Z</dcterms:modified>
</cp:coreProperties>
</file>