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150" w:after="0"/>
        <w:jc w:val="center"/>
        <w:rPr>
          <w:rFonts w:ascii="Segoe UI" w:hAnsi="Segoe UI" w:eastAsia="Times New Roman" w:cs="Segoe UI"/>
          <w:b/>
          <w:bCs/>
          <w:color w:val="172B4D"/>
          <w:sz w:val="21"/>
          <w:szCs w:val="21"/>
          <w:lang w:eastAsia="ru-RU"/>
        </w:rPr>
      </w:pPr>
      <w:r>
        <w:rPr>
          <w:rFonts w:eastAsia="Times New Roman" w:cs="Segoe UI" w:ascii="Segoe UI" w:hAnsi="Segoe UI"/>
          <w:b/>
          <w:bCs/>
          <w:color w:val="172B4D"/>
          <w:sz w:val="21"/>
          <w:szCs w:val="21"/>
          <w:lang w:eastAsia="ru-RU"/>
        </w:rPr>
        <w:t>Описание процесса консолидации</w:t>
      </w:r>
    </w:p>
    <w:p>
      <w:pPr>
        <w:pStyle w:val="Normal"/>
        <w:shd w:val="clear" w:color="auto" w:fill="FFFFFF"/>
        <w:spacing w:lineRule="auto" w:line="240" w:before="150" w:after="0"/>
        <w:jc w:val="center"/>
        <w:rPr>
          <w:rFonts w:ascii="Segoe UI" w:hAnsi="Segoe UI" w:eastAsia="Times New Roman" w:cs="Segoe UI"/>
          <w:b/>
          <w:bCs/>
          <w:color w:val="172B4D"/>
          <w:sz w:val="21"/>
          <w:szCs w:val="21"/>
          <w:lang w:eastAsia="ru-RU"/>
        </w:rPr>
      </w:pPr>
      <w:r>
        <w:rPr>
          <w:rFonts w:eastAsia="Times New Roman" w:cs="Segoe UI" w:ascii="Segoe UI" w:hAnsi="Segoe UI"/>
          <w:b/>
          <w:bCs/>
          <w:color w:val="172B4D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150" w:after="0"/>
        <w:jc w:val="both"/>
        <w:rPr>
          <w:rFonts w:ascii="Segoe UI" w:hAnsi="Segoe UI" w:eastAsia="Times New Roman" w:cs="Segoe UI"/>
          <w:color w:val="172B4D"/>
          <w:sz w:val="21"/>
          <w:szCs w:val="21"/>
          <w:lang w:eastAsia="ru-RU"/>
        </w:rPr>
      </w:pPr>
      <w:r>
        <w:rPr>
          <w:rFonts w:eastAsia="Times New Roman" w:cs="Segoe UI" w:ascii="Segoe UI" w:hAnsi="Segoe UI"/>
          <w:b/>
          <w:bCs/>
          <w:color w:val="172B4D"/>
          <w:sz w:val="21"/>
          <w:szCs w:val="21"/>
          <w:lang w:eastAsia="ru-RU"/>
        </w:rPr>
        <w:t>Статус ЭД Консолидированная закупка «Формирование плана»:</w:t>
      </w:r>
      <w:bookmarkStart w:id="0" w:name="_GoBack"/>
      <w:bookmarkEnd w:id="0"/>
    </w:p>
    <w:p>
      <w:pPr>
        <w:pStyle w:val="Normal"/>
        <w:shd w:val="clear" w:color="auto" w:fill="FFFFFF"/>
        <w:spacing w:lineRule="auto" w:line="240" w:beforeAutospacing="1" w:afterAutospacing="1"/>
        <w:ind w:firstLine="567"/>
        <w:jc w:val="both"/>
        <w:rPr>
          <w:rFonts w:ascii="Segoe UI" w:hAnsi="Segoe UI" w:eastAsia="Times New Roman" w:cs="Segoe UI"/>
          <w:i/>
          <w:i/>
          <w:color w:val="172B4D"/>
          <w:sz w:val="21"/>
          <w:szCs w:val="21"/>
          <w:lang w:eastAsia="ru-RU"/>
        </w:rPr>
      </w:pPr>
      <w:r>
        <w:rPr>
          <w:rFonts w:eastAsia="Times New Roman" w:cs="Segoe UI" w:ascii="Segoe UI" w:hAnsi="Segoe UI"/>
          <w:i/>
          <w:color w:val="172B4D"/>
          <w:sz w:val="21"/>
          <w:szCs w:val="21"/>
          <w:lang w:eastAsia="ru-RU"/>
        </w:rPr>
        <w:t>При переходе ЭД Консолидированная закупка на статус «Формирование плана» пользователям, указанным на вкладке «Получатели», отправляются уведомления.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Autospacing="1" w:after="0"/>
        <w:ind w:firstLine="567" w:left="0"/>
        <w:jc w:val="both"/>
        <w:rPr>
          <w:rFonts w:ascii="Segoe UI" w:hAnsi="Segoe UI" w:eastAsia="Times New Roman" w:cs="Segoe UI"/>
          <w:color w:val="172B4D"/>
          <w:sz w:val="21"/>
          <w:szCs w:val="21"/>
          <w:lang w:eastAsia="ru-RU"/>
        </w:rPr>
      </w:pPr>
      <w:r>
        <w:rPr>
          <w:rFonts w:eastAsia="Times New Roman" w:cs="Segoe UI" w:ascii="Segoe UI" w:hAnsi="Segoe UI"/>
          <w:color w:val="172B4D"/>
          <w:sz w:val="21"/>
          <w:szCs w:val="21"/>
          <w:lang w:eastAsia="ru-RU"/>
        </w:rPr>
        <w:t xml:space="preserve">Необходимо создать / внести изменение в позицию плана-графика, установить признак «Совместная закупка», и в поле «Консолидированная закупка» выбрать необходимый ЭД Консолидированная закупка. 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firstLine="567" w:left="0"/>
        <w:jc w:val="both"/>
        <w:rPr>
          <w:rFonts w:ascii="Segoe UI" w:hAnsi="Segoe UI" w:eastAsia="Times New Roman" w:cs="Segoe UI"/>
          <w:color w:val="172B4D"/>
          <w:sz w:val="21"/>
          <w:szCs w:val="21"/>
          <w:lang w:eastAsia="ru-RU"/>
        </w:rPr>
      </w:pPr>
      <w:r>
        <w:rPr>
          <w:rFonts w:eastAsia="Times New Roman" w:cs="Segoe UI" w:ascii="Segoe UI" w:hAnsi="Segoe UI"/>
          <w:color w:val="172B4D"/>
          <w:sz w:val="21"/>
          <w:szCs w:val="21"/>
          <w:lang w:eastAsia="ru-RU"/>
        </w:rPr>
        <w:t>После заполнения поля «Консолидированная закупка» необходимо нажать кнопку «Обновить Позицию данными из Консолидированной закупки». В результате поля позиции плана-графика </w:t>
      </w:r>
      <w:r>
        <w:rPr>
          <w:rFonts w:eastAsia="Times New Roman" w:cs="Segoe UI" w:ascii="Segoe UI" w:hAnsi="Segoe UI"/>
          <w:sz w:val="21"/>
          <w:szCs w:val="21"/>
          <w:lang w:eastAsia="ru-RU"/>
        </w:rPr>
        <w:t xml:space="preserve">заполняются данными из соответствующего </w:t>
      </w:r>
      <w:r>
        <w:rPr>
          <w:rFonts w:eastAsia="Times New Roman" w:cs="Segoe UI" w:ascii="Segoe UI" w:hAnsi="Segoe UI"/>
          <w:color w:val="172B4D"/>
          <w:sz w:val="21"/>
          <w:szCs w:val="21"/>
          <w:lang w:eastAsia="ru-RU"/>
        </w:rPr>
        <w:t>ЭД Консолидированная закупка.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Autospacing="1"/>
        <w:ind w:firstLine="567" w:left="0"/>
        <w:jc w:val="both"/>
        <w:rPr>
          <w:rFonts w:ascii="Segoe UI" w:hAnsi="Segoe UI" w:eastAsia="Times New Roman" w:cs="Segoe UI"/>
          <w:color w:val="172B4D"/>
          <w:sz w:val="21"/>
          <w:szCs w:val="21"/>
          <w:lang w:eastAsia="ru-RU"/>
        </w:rPr>
      </w:pPr>
      <w:r>
        <w:rPr>
          <w:rFonts w:eastAsia="Times New Roman" w:cs="Segoe UI" w:ascii="Segoe UI" w:hAnsi="Segoe UI"/>
          <w:color w:val="172B4D"/>
          <w:sz w:val="21"/>
          <w:szCs w:val="21"/>
          <w:lang w:eastAsia="ru-RU"/>
        </w:rPr>
        <w:t>Далее осуществляется штатная обработка позиции плана-графика.</w:t>
      </w:r>
    </w:p>
    <w:p>
      <w:pPr>
        <w:pStyle w:val="Normal"/>
        <w:shd w:val="clear" w:color="auto" w:fill="FFFFFF"/>
        <w:tabs>
          <w:tab w:val="clear" w:pos="708"/>
          <w:tab w:val="left" w:pos="851" w:leader="none"/>
        </w:tabs>
        <w:spacing w:lineRule="auto" w:line="240" w:beforeAutospacing="1" w:afterAutospacing="1"/>
        <w:jc w:val="center"/>
        <w:rPr>
          <w:rFonts w:ascii="Segoe UI" w:hAnsi="Segoe UI" w:eastAsia="Times New Roman" w:cs="Segoe UI"/>
          <w:color w:val="172B4D"/>
          <w:sz w:val="21"/>
          <w:szCs w:val="21"/>
          <w:lang w:eastAsia="ru-RU"/>
        </w:rPr>
      </w:pPr>
      <w:r>
        <w:rPr/>
        <w:drawing>
          <wp:inline distT="0" distB="0" distL="0" distR="0">
            <wp:extent cx="5940425" cy="235077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5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tabs>
          <w:tab w:val="clear" w:pos="708"/>
          <w:tab w:val="left" w:pos="851" w:leader="none"/>
        </w:tabs>
        <w:spacing w:lineRule="auto" w:line="240" w:beforeAutospacing="1" w:afterAutospacing="1"/>
        <w:jc w:val="center"/>
        <w:rPr>
          <w:rFonts w:ascii="Segoe UI" w:hAnsi="Segoe UI" w:eastAsia="Times New Roman" w:cs="Segoe UI"/>
          <w:color w:val="172B4D"/>
          <w:sz w:val="21"/>
          <w:szCs w:val="21"/>
          <w:lang w:eastAsia="ru-RU"/>
        </w:rPr>
      </w:pPr>
      <w:r>
        <w:rPr>
          <w:rFonts w:eastAsia="Times New Roman" w:cs="Segoe UI" w:ascii="Segoe UI" w:hAnsi="Segoe UI"/>
          <w:color w:val="172B4D"/>
          <w:sz w:val="21"/>
          <w:szCs w:val="21"/>
          <w:lang w:eastAsia="ru-RU"/>
        </w:rPr>
        <w:t>Рисунок 1 – Позиция плана-графика</w:t>
      </w:r>
    </w:p>
    <w:p>
      <w:pPr>
        <w:pStyle w:val="Normal"/>
        <w:shd w:val="clear" w:color="auto" w:fill="FFFFFF"/>
        <w:spacing w:lineRule="auto" w:line="240" w:before="150" w:after="0"/>
        <w:rPr>
          <w:rFonts w:ascii="Segoe UI" w:hAnsi="Segoe UI" w:eastAsia="Times New Roman" w:cs="Segoe UI"/>
          <w:color w:val="172B4D"/>
          <w:sz w:val="21"/>
          <w:szCs w:val="21"/>
          <w:lang w:eastAsia="ru-RU"/>
        </w:rPr>
      </w:pPr>
      <w:r>
        <w:rPr>
          <w:rFonts w:eastAsia="Times New Roman" w:cs="Segoe UI" w:ascii="Segoe UI" w:hAnsi="Segoe UI"/>
          <w:b/>
          <w:bCs/>
          <w:color w:val="172B4D"/>
          <w:sz w:val="21"/>
          <w:szCs w:val="21"/>
          <w:lang w:eastAsia="ru-RU"/>
        </w:rPr>
        <w:t>Статус ЭД Консолидированная закупка «Прием заявок»</w:t>
      </w:r>
      <w:r>
        <w:rPr>
          <w:rFonts w:eastAsia="Times New Roman" w:cs="Segoe UI" w:ascii="Segoe UI" w:hAnsi="Segoe UI"/>
          <w:color w:val="172B4D"/>
          <w:sz w:val="21"/>
          <w:szCs w:val="21"/>
          <w:lang w:eastAsia="ru-RU"/>
        </w:rPr>
        <w:t>:</w:t>
      </w:r>
    </w:p>
    <w:p>
      <w:pPr>
        <w:pStyle w:val="Normal"/>
        <w:shd w:val="clear" w:color="auto" w:fill="FFFFFF"/>
        <w:tabs>
          <w:tab w:val="clear" w:pos="708"/>
          <w:tab w:val="left" w:pos="851" w:leader="none"/>
        </w:tabs>
        <w:spacing w:lineRule="auto" w:line="240" w:beforeAutospacing="1" w:afterAutospacing="1"/>
        <w:ind w:firstLine="567"/>
        <w:jc w:val="both"/>
        <w:rPr>
          <w:rFonts w:ascii="Segoe UI" w:hAnsi="Segoe UI" w:eastAsia="Times New Roman" w:cs="Segoe UI"/>
          <w:i/>
          <w:i/>
          <w:color w:val="172B4D"/>
          <w:sz w:val="21"/>
          <w:szCs w:val="21"/>
          <w:lang w:eastAsia="ru-RU"/>
        </w:rPr>
      </w:pPr>
      <w:r>
        <w:rPr>
          <w:rFonts w:eastAsia="Times New Roman" w:cs="Segoe UI" w:ascii="Segoe UI" w:hAnsi="Segoe UI"/>
          <w:i/>
          <w:color w:val="172B4D"/>
          <w:sz w:val="21"/>
          <w:szCs w:val="21"/>
          <w:lang w:eastAsia="ru-RU"/>
        </w:rPr>
        <w:t xml:space="preserve">При переходе ЭД Консолидированная закупка на статус «Прием заявок» пользователям, указанным на вкладке «Получатели», аналогично отправляются уведомления. 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851" w:leader="none"/>
        </w:tabs>
        <w:spacing w:lineRule="auto" w:line="240" w:beforeAutospacing="1" w:after="0"/>
        <w:ind w:firstLine="567" w:left="0"/>
        <w:rPr>
          <w:rFonts w:ascii="Segoe UI" w:hAnsi="Segoe UI" w:eastAsia="Times New Roman" w:cs="Segoe UI"/>
          <w:color w:val="172B4D"/>
          <w:sz w:val="21"/>
          <w:szCs w:val="21"/>
          <w:lang w:eastAsia="ru-RU"/>
        </w:rPr>
      </w:pPr>
      <w:r>
        <w:rPr>
          <w:rFonts w:eastAsia="Times New Roman" w:cs="Segoe UI" w:ascii="Segoe UI" w:hAnsi="Segoe UI"/>
          <w:color w:val="172B4D"/>
          <w:sz w:val="21"/>
          <w:szCs w:val="21"/>
          <w:lang w:eastAsia="ru-RU"/>
        </w:rPr>
        <w:t>Из позиции плана-графика необходимо сформировать ЭД Заявка на закупку.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ind w:firstLine="567" w:left="0"/>
        <w:rPr>
          <w:rFonts w:ascii="Segoe UI" w:hAnsi="Segoe UI" w:eastAsia="Times New Roman" w:cs="Segoe UI"/>
          <w:color w:val="172B4D"/>
          <w:sz w:val="21"/>
          <w:szCs w:val="21"/>
          <w:lang w:eastAsia="ru-RU"/>
        </w:rPr>
      </w:pPr>
      <w:r>
        <w:rPr>
          <w:rFonts w:eastAsia="Times New Roman" w:cs="Segoe UI" w:ascii="Segoe UI" w:hAnsi="Segoe UI"/>
          <w:color w:val="172B4D"/>
          <w:sz w:val="21"/>
          <w:szCs w:val="21"/>
          <w:lang w:eastAsia="ru-RU"/>
        </w:rPr>
        <w:t xml:space="preserve">В ЭД Заявка на закупку аналогично заполнить поле «Консолидированная закупка» и выполнить действие «Обновить Заявку на закупку данными из Консолидированной закупки». 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851" w:leader="none"/>
        </w:tabs>
        <w:spacing w:lineRule="auto" w:line="240" w:before="0" w:afterAutospacing="1"/>
        <w:ind w:firstLine="567" w:left="0"/>
        <w:rPr>
          <w:rFonts w:ascii="Segoe UI" w:hAnsi="Segoe UI" w:eastAsia="Times New Roman" w:cs="Segoe UI"/>
          <w:color w:val="172B4D"/>
          <w:sz w:val="21"/>
          <w:szCs w:val="21"/>
          <w:lang w:eastAsia="ru-RU"/>
        </w:rPr>
      </w:pPr>
      <w:r>
        <w:rPr>
          <w:rFonts w:eastAsia="Times New Roman" w:cs="Segoe UI" w:ascii="Segoe UI" w:hAnsi="Segoe UI"/>
          <w:color w:val="172B4D"/>
          <w:sz w:val="21"/>
          <w:szCs w:val="21"/>
          <w:lang w:eastAsia="ru-RU"/>
        </w:rPr>
        <w:t xml:space="preserve">Далее в штатном порядке дозаполняется ЭД Заявка на закупку и обрабатывается. </w:t>
      </w:r>
    </w:p>
    <w:p>
      <w:pPr>
        <w:pStyle w:val="Normal"/>
        <w:rPr/>
      </w:pPr>
      <w:r>
        <w:rPr/>
        <w:drawing>
          <wp:inline distT="0" distB="0" distL="0" distR="0">
            <wp:extent cx="5940425" cy="3251835"/>
            <wp:effectExtent l="0" t="0" r="0" b="0"/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tabs>
          <w:tab w:val="clear" w:pos="708"/>
          <w:tab w:val="left" w:pos="851" w:leader="none"/>
        </w:tabs>
        <w:spacing w:lineRule="auto" w:line="240" w:beforeAutospacing="1" w:afterAutospacing="1"/>
        <w:jc w:val="center"/>
        <w:rPr>
          <w:rFonts w:ascii="Segoe UI" w:hAnsi="Segoe UI" w:eastAsia="Times New Roman" w:cs="Segoe UI"/>
          <w:color w:val="172B4D"/>
          <w:sz w:val="21"/>
          <w:szCs w:val="21"/>
          <w:lang w:eastAsia="ru-RU"/>
        </w:rPr>
      </w:pPr>
      <w:r>
        <w:rPr>
          <w:rFonts w:eastAsia="Times New Roman" w:cs="Segoe UI" w:ascii="Segoe UI" w:hAnsi="Segoe UI"/>
          <w:color w:val="172B4D"/>
          <w:sz w:val="21"/>
          <w:szCs w:val="21"/>
          <w:lang w:eastAsia="ru-RU"/>
        </w:rPr>
        <w:t>Рисунок 2 – ЭД Заявка на закупку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ind w:hanging="0" w:left="0"/>
        <w:rPr>
          <w:rFonts w:ascii="Segoe UI" w:hAnsi="Segoe UI" w:eastAsia="Times New Roman" w:cs="Segoe UI"/>
          <w:color w:val="172B4D"/>
          <w:sz w:val="21"/>
          <w:szCs w:val="21"/>
          <w:lang w:eastAsia="ru-RU"/>
        </w:rPr>
      </w:pPr>
      <w:r>
        <w:rPr>
          <w:rFonts w:eastAsia="Times New Roman" w:cs="Segoe UI" w:ascii="Segoe UI" w:hAnsi="Segoe UI"/>
          <w:color w:val="172B4D"/>
          <w:sz w:val="21"/>
          <w:szCs w:val="21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ind w:hanging="0" w:left="0"/>
        <w:rPr>
          <w:rFonts w:ascii="Segoe UI" w:hAnsi="Segoe UI" w:eastAsia="Times New Roman" w:cs="Segoe UI"/>
          <w:color w:val="172B4D"/>
          <w:sz w:val="21"/>
          <w:szCs w:val="21"/>
          <w:lang w:eastAsia="ru-RU"/>
        </w:rPr>
      </w:pPr>
      <w:r>
        <w:rPr>
          <w:rFonts w:eastAsia="Times New Roman" w:cs="Segoe UI" w:ascii="Segoe UI" w:hAnsi="Segoe UI"/>
          <w:color w:val="172B4D"/>
          <w:sz w:val="21"/>
          <w:szCs w:val="21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ind w:hanging="0" w:left="0"/>
        <w:rPr>
          <w:rFonts w:ascii="Segoe UI" w:hAnsi="Segoe UI" w:eastAsia="Times New Roman" w:cs="Segoe UI"/>
          <w:color w:val="172B4D"/>
          <w:sz w:val="21"/>
          <w:szCs w:val="21"/>
          <w:lang w:eastAsia="ru-RU"/>
        </w:rPr>
      </w:pPr>
      <w:r>
        <w:rPr>
          <w:rFonts w:eastAsia="Times New Roman" w:cs="Segoe UI" w:ascii="Segoe UI" w:hAnsi="Segoe UI"/>
          <w:color w:val="172B4D"/>
          <w:sz w:val="21"/>
          <w:szCs w:val="21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ind w:hanging="0" w:left="0"/>
        <w:jc w:val="both"/>
        <w:rPr>
          <w:rFonts w:ascii="Segoe UI" w:hAnsi="Segoe UI" w:eastAsia="Times New Roman" w:cs="Segoe UI"/>
          <w:color w:val="172B4D"/>
          <w:sz w:val="21"/>
          <w:szCs w:val="21"/>
          <w:lang w:eastAsia="ru-RU"/>
        </w:rPr>
      </w:pPr>
      <w:r>
        <w:rPr>
          <w:rFonts w:eastAsia="Times New Roman" w:cs="Segoe UI" w:ascii="Segoe UI" w:hAnsi="Segoe UI"/>
          <w:color w:val="172B4D"/>
          <w:sz w:val="21"/>
          <w:szCs w:val="21"/>
          <w:lang w:eastAsia="ru-RU"/>
        </w:rPr>
        <w:t xml:space="preserve">          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2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c775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42e0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42e07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a42e0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LibreOffice/24.8.4.2$Linux_X86_64 LibreOffice_project/480$Build-2</Application>
  <AppVersion>15.0000</AppVersion>
  <Pages>2</Pages>
  <Words>159</Words>
  <Characters>1176</Characters>
  <CharactersWithSpaces>1334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2026-06-24T18:19:00Z</dcterms:created>
  <dc:creator>Попова Снежанна Владимировна</dc:creator>
  <dc:description/>
  <dc:language>ru-RU</dc:language>
  <cp:lastModifiedBy/>
  <dcterms:modified xsi:type="dcterms:W3CDTF">2026-06-25T14:30:33Z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