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EF3" w:rsidRDefault="00E173B0">
      <w:pPr>
        <w:pStyle w:val="ConsPlusNormal1"/>
        <w:jc w:val="center"/>
        <w:rPr>
          <w:sz w:val="24"/>
        </w:rPr>
      </w:pPr>
      <w:bookmarkStart w:id="0" w:name="P149"/>
      <w:bookmarkEnd w:id="0"/>
      <w:r>
        <w:rPr>
          <w:sz w:val="24"/>
        </w:rPr>
        <w:t>ПЕРЕЧЕНЬ</w:t>
      </w:r>
    </w:p>
    <w:p w:rsidR="00A34EF3" w:rsidRDefault="00E173B0" w:rsidP="00E173B0">
      <w:pPr>
        <w:pStyle w:val="ConsPlusNormal"/>
        <w:jc w:val="center"/>
        <w:rPr>
          <w:sz w:val="24"/>
        </w:rPr>
      </w:pPr>
      <w:r>
        <w:rPr>
          <w:sz w:val="24"/>
        </w:rPr>
        <w:t xml:space="preserve">налоговых расходов города Магнитогорска на 2027 год </w:t>
      </w:r>
      <w:bookmarkStart w:id="1" w:name="_GoBack"/>
      <w:bookmarkEnd w:id="1"/>
      <w:r>
        <w:rPr>
          <w:sz w:val="24"/>
        </w:rPr>
        <w:t>и плановый период 2028 и 2029 годов</w:t>
      </w: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79"/>
        <w:gridCol w:w="1901"/>
        <w:gridCol w:w="4360"/>
        <w:gridCol w:w="1836"/>
        <w:gridCol w:w="1929"/>
        <w:gridCol w:w="1915"/>
        <w:gridCol w:w="2084"/>
        <w:gridCol w:w="1576"/>
      </w:tblGrid>
      <w:tr w:rsidR="00A34EF3">
        <w:trPr>
          <w:tblHeader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z w:val="20"/>
              </w:rPr>
              <w:t xml:space="preserve"> п/п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Краткое наименование налогового расхода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Полное наименование налогового расхода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Реквизиты нормативного правового акта, устанавливающего налоговый расход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Структурная единица нормативного </w:t>
            </w:r>
            <w:r>
              <w:rPr>
                <w:sz w:val="20"/>
              </w:rPr>
              <w:t>правового акта, устанавливающего</w:t>
            </w:r>
          </w:p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налоговый расход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муниципальной программы и (или) целей социально - экономической политики города, не относящихся к муниципальным программам, которым соответствуют налоговые расходы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Цели муниципальной программы</w:t>
            </w:r>
          </w:p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и (или) цели социально-экономической политики города, не относящиеся к муниципальным программам, которым соответствуют налоговые расходы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Куратор налогового расхода</w:t>
            </w:r>
          </w:p>
        </w:tc>
      </w:tr>
      <w:tr w:rsidR="00A34EF3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A34EF3">
        <w:trPr>
          <w:trHeight w:val="1044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</w:t>
            </w:r>
          </w:p>
          <w:p w:rsidR="00A34EF3" w:rsidRDefault="00E173B0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земельному налогу органам местного самоуправления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уплаты </w:t>
            </w:r>
            <w:r>
              <w:rPr>
                <w:rFonts w:ascii="Times New Roman" w:hAnsi="Times New Roman"/>
                <w:sz w:val="20"/>
              </w:rPr>
              <w:t>земельного налога освобождаются в полном объеме органы местного самоуправления в отношении земельных участков, предоставленных для обеспечения их деятельности</w:t>
            </w:r>
          </w:p>
        </w:tc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Решение МГСД от 28.04.2010 № 73 «Об утверждении Положения о земельном налоге на территории города</w:t>
            </w:r>
            <w:r>
              <w:rPr>
                <w:sz w:val="20"/>
              </w:rPr>
              <w:t xml:space="preserve"> Магнитогорска» (далее – Решение)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п.п</w:t>
            </w:r>
            <w:proofErr w:type="spellEnd"/>
            <w:r>
              <w:rPr>
                <w:sz w:val="20"/>
              </w:rPr>
              <w:t>. 1 п.3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техническая целевая категория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Отдел бухгалтерского учета и отчетности</w:t>
            </w:r>
          </w:p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администрации города Магнитогорска</w:t>
            </w:r>
          </w:p>
          <w:p w:rsidR="00A34EF3" w:rsidRDefault="00A34EF3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A34EF3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</w:t>
            </w:r>
          </w:p>
          <w:p w:rsidR="00A34EF3" w:rsidRDefault="00E173B0">
            <w:pPr>
              <w:pStyle w:val="ConsPlusNormal1"/>
              <w:rPr>
                <w:sz w:val="20"/>
                <w:highlight w:val="yellow"/>
              </w:rPr>
            </w:pPr>
            <w:r>
              <w:rPr>
                <w:sz w:val="20"/>
              </w:rPr>
              <w:t xml:space="preserve">земельному налогу организациям, осуществляющим деятельность с использованием социально </w:t>
            </w:r>
            <w:r>
              <w:rPr>
                <w:sz w:val="20"/>
              </w:rPr>
              <w:t>значимых объектов городской инфраструктуры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уплаты земельного налога освобождаются в полном объеме организации в отношении земельных участков, используемых в целях обеспечения их деятельности, занятых объектами инженерной инфраструктуры (электро-, </w:t>
            </w:r>
            <w:r>
              <w:rPr>
                <w:rFonts w:ascii="Times New Roman" w:hAnsi="Times New Roman"/>
                <w:sz w:val="20"/>
              </w:rPr>
              <w:t>тепло-, водоснабжение, водоотведение, очистка сточных вод), контейнерными площадками для бытовых отходов, объектами для утилизации (захоронения) твердых бытовых отходов, трамвайными путями, закрепленными за ними собственником на праве хозяйственного ведени</w:t>
            </w:r>
            <w:r>
              <w:rPr>
                <w:rFonts w:ascii="Times New Roman" w:hAnsi="Times New Roman"/>
                <w:sz w:val="20"/>
              </w:rPr>
              <w:t>я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A34EF3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п.п</w:t>
            </w:r>
            <w:proofErr w:type="spellEnd"/>
            <w:r>
              <w:rPr>
                <w:sz w:val="20"/>
              </w:rPr>
              <w:t>. 2 п.3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техническая целевая категория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Управление транспорта и коммунального хозяйства</w:t>
            </w:r>
          </w:p>
        </w:tc>
      </w:tr>
      <w:tr w:rsidR="00A34EF3">
        <w:trPr>
          <w:trHeight w:val="2866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</w:t>
            </w:r>
          </w:p>
          <w:p w:rsidR="00A34EF3" w:rsidRDefault="00E173B0">
            <w:pPr>
              <w:pStyle w:val="ConsPlusNormal1"/>
              <w:rPr>
                <w:sz w:val="20"/>
                <w:highlight w:val="yellow"/>
              </w:rPr>
            </w:pPr>
            <w:r>
              <w:rPr>
                <w:sz w:val="20"/>
              </w:rPr>
              <w:t>земельному налогу садоводческим, огородническим некоммерческим объединениям граждан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уплаты земельного налога освобождаются в полном объеме </w:t>
            </w:r>
            <w:r>
              <w:rPr>
                <w:rFonts w:ascii="Times New Roman" w:hAnsi="Times New Roman"/>
                <w:sz w:val="20"/>
              </w:rPr>
              <w:t>садоводческие, огороднические некоммерческие объединения граждан в отношении земель общего пользования данных объединений (лесозащитных полос, проездов и других земель, не занятых индивидуальными садовыми, огородническими участками), а также в отношении зе</w:t>
            </w:r>
            <w:r>
              <w:rPr>
                <w:rFonts w:ascii="Times New Roman" w:hAnsi="Times New Roman"/>
                <w:sz w:val="20"/>
              </w:rPr>
              <w:t xml:space="preserve">мельных участков, используемых для садоводства, огородничества лицами, указанными в </w:t>
            </w:r>
            <w:proofErr w:type="spellStart"/>
            <w:r>
              <w:rPr>
                <w:rFonts w:ascii="Times New Roman" w:hAnsi="Times New Roman"/>
                <w:sz w:val="20"/>
              </w:rPr>
              <w:t>п.п</w:t>
            </w:r>
            <w:proofErr w:type="spellEnd"/>
            <w:r>
              <w:rPr>
                <w:rFonts w:ascii="Times New Roman" w:hAnsi="Times New Roman"/>
                <w:sz w:val="20"/>
              </w:rPr>
              <w:t>. 4 п.3 Решения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A34EF3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п.п</w:t>
            </w:r>
            <w:proofErr w:type="spellEnd"/>
            <w:r>
              <w:rPr>
                <w:sz w:val="20"/>
              </w:rPr>
              <w:t>. 3 п.3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программа «Поддержка садоводческих некоммерческих товариществ, расположенных на территории города Магнитогорска» на 2025 – 2030</w:t>
            </w:r>
            <w:r>
              <w:rPr>
                <w:sz w:val="20"/>
              </w:rPr>
              <w:t xml:space="preserve"> годы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Оказание поддержки садоводческим некоммерческим товариществам, расположенным на территории города Магнитогорска, в рамках полномочий органов местного самоуправления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Отдел бухгалтерского учета и отчетности</w:t>
            </w:r>
          </w:p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администрации города Магнитогорска</w:t>
            </w:r>
          </w:p>
        </w:tc>
      </w:tr>
      <w:tr w:rsidR="00A34EF3">
        <w:trPr>
          <w:trHeight w:val="1977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 xml:space="preserve">льгота </w:t>
            </w:r>
            <w:r>
              <w:rPr>
                <w:sz w:val="20"/>
              </w:rPr>
              <w:t>по</w:t>
            </w:r>
          </w:p>
          <w:p w:rsidR="00A34EF3" w:rsidRDefault="00E173B0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земельному налогу льготным категориям граждан в отношении земельных участков определённых видов разрешённого использования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уплаты земельного налога в отношении одного объекта каждого вида земельных участков (части земельных участков), занятых индивид</w:t>
            </w:r>
            <w:r>
              <w:rPr>
                <w:rFonts w:ascii="Times New Roman" w:hAnsi="Times New Roman"/>
                <w:sz w:val="20"/>
              </w:rPr>
              <w:t>уальным жилищным фондом или предоставленных (приобретенных) для индивидуального жилищного строительства, площадь которых не превышает 1500 м2, а также в отношении земельных участков, предоставленных (приобретенных) для личного подсобного хозяйства, садовод</w:t>
            </w:r>
            <w:r>
              <w:rPr>
                <w:rFonts w:ascii="Times New Roman" w:hAnsi="Times New Roman"/>
                <w:sz w:val="20"/>
              </w:rPr>
              <w:t>ства, огородничества или занятых индивидуальными и кооперативными гаражами, погребами освобождаются категории граждан указанные п. 5статьи 391 НК РФ и дополнительные категории налогоплательщиков:</w:t>
            </w:r>
          </w:p>
          <w:p w:rsidR="00A34EF3" w:rsidRDefault="00E173B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инвалиды III группы;</w:t>
            </w:r>
          </w:p>
          <w:p w:rsidR="00A34EF3" w:rsidRDefault="00E173B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  <w:r>
              <w:rPr>
                <w:rFonts w:ascii="PT Serif" w:hAnsi="PT Serif"/>
                <w:color w:val="22272F"/>
                <w:sz w:val="23"/>
                <w:highlight w:val="white"/>
              </w:rPr>
              <w:t> </w:t>
            </w:r>
            <w:r>
              <w:rPr>
                <w:rFonts w:ascii="Times New Roman" w:hAnsi="Times New Roman"/>
                <w:sz w:val="20"/>
              </w:rPr>
              <w:t xml:space="preserve">члены семей, имеющие трех и более </w:t>
            </w:r>
            <w:r>
              <w:rPr>
                <w:rFonts w:ascii="Times New Roman" w:hAnsi="Times New Roman"/>
                <w:sz w:val="20"/>
              </w:rPr>
              <w:t>несовершеннолетних детей (детей в возрасте до 23 лет, обучающихся в образовательных организациях по очной форме обучения);</w:t>
            </w:r>
          </w:p>
          <w:p w:rsidR="00A34EF3" w:rsidRDefault="00E173B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члены семей, воспитывающих детей-инвалидов;</w:t>
            </w:r>
          </w:p>
          <w:p w:rsidR="00A34EF3" w:rsidRDefault="00E173B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 члены семей, потерявших кормильца и воспитывающих несовершеннолетних детей;</w:t>
            </w:r>
          </w:p>
          <w:p w:rsidR="00A34EF3" w:rsidRDefault="00E173B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>одинокие родители (лица, их замещающие) с ребенком или детьми в возрасте до 18 лет;</w:t>
            </w:r>
          </w:p>
          <w:p w:rsidR="00A34EF3" w:rsidRDefault="00E173B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несовершеннолетние дети, родители, опекуны и попечители которых пользуются льготами по налогу на имущество физических лиц;</w:t>
            </w:r>
          </w:p>
          <w:p w:rsidR="00A34EF3" w:rsidRDefault="00E173B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граждане, выполнявшие интернациональный долг </w:t>
            </w:r>
            <w:r>
              <w:rPr>
                <w:rFonts w:ascii="Times New Roman" w:hAnsi="Times New Roman"/>
                <w:sz w:val="20"/>
              </w:rPr>
              <w:t>в Республике Афганистан;</w:t>
            </w:r>
          </w:p>
          <w:p w:rsidR="00A34EF3" w:rsidRDefault="00E173B0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граждане, принимавшие участие в боевых действиях на территории Чеченской республики.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A34EF3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п.п</w:t>
            </w:r>
            <w:proofErr w:type="spellEnd"/>
            <w:r>
              <w:rPr>
                <w:sz w:val="20"/>
              </w:rPr>
              <w:t>. 4 п.3</w:t>
            </w:r>
          </w:p>
          <w:p w:rsidR="00A34EF3" w:rsidRDefault="00A34EF3">
            <w:pPr>
              <w:pStyle w:val="ConsPlusNormal1"/>
              <w:rPr>
                <w:sz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программа «Социальное обслуживание и социальная поддержка жителей города Магнитогорска» на 2025 – 2030 годы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Создание </w:t>
            </w:r>
            <w:r>
              <w:rPr>
                <w:sz w:val="20"/>
              </w:rPr>
              <w:t>условий для роста благосостояния граждан – получателей мер социальной поддержки, повышение доступности социального обслуживания населения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Управление социальной защиты населения</w:t>
            </w:r>
          </w:p>
        </w:tc>
      </w:tr>
      <w:tr w:rsidR="00A34EF3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</w:t>
            </w:r>
          </w:p>
          <w:p w:rsidR="00A34EF3" w:rsidRDefault="00E173B0">
            <w:pPr>
              <w:pStyle w:val="ConsPlusNormal1"/>
              <w:rPr>
                <w:sz w:val="20"/>
                <w:highlight w:val="yellow"/>
              </w:rPr>
            </w:pPr>
            <w:r>
              <w:rPr>
                <w:sz w:val="20"/>
              </w:rPr>
              <w:t>земельному налогу гаражным кооперативам, погребам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уплаты </w:t>
            </w:r>
            <w:r>
              <w:rPr>
                <w:rFonts w:ascii="Times New Roman" w:hAnsi="Times New Roman"/>
                <w:sz w:val="20"/>
              </w:rPr>
              <w:t xml:space="preserve">земельного налога освобождаются гаражные кооперативы, погреба в отношении земель общего пользования данных организаций (лесозащитных полос, проездов и других земель, не занятых индивидуальными и кооперативными гаражами, погребами) пропорционально числу их </w:t>
            </w:r>
            <w:r>
              <w:rPr>
                <w:rFonts w:ascii="Times New Roman" w:hAnsi="Times New Roman"/>
                <w:sz w:val="20"/>
              </w:rPr>
              <w:t xml:space="preserve">членов, являющихся пенсионерами, а также в отношении земельных участков, занятых гаражами, погребами, принадлежащих лицам, указанным в </w:t>
            </w:r>
            <w:proofErr w:type="spellStart"/>
            <w:r>
              <w:rPr>
                <w:rFonts w:ascii="Times New Roman" w:hAnsi="Times New Roman"/>
                <w:sz w:val="20"/>
              </w:rPr>
              <w:t>п.п</w:t>
            </w:r>
            <w:proofErr w:type="spellEnd"/>
            <w:r>
              <w:rPr>
                <w:rFonts w:ascii="Times New Roman" w:hAnsi="Times New Roman"/>
                <w:sz w:val="20"/>
              </w:rPr>
              <w:t>. 4 п.3 Решения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A34EF3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п.п.5 п. 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«Социальное обслуживание и социальная поддержка жителей города </w:t>
            </w:r>
            <w:r>
              <w:rPr>
                <w:sz w:val="20"/>
              </w:rPr>
              <w:t>Магнитогорска» на 2025 – 2030 годы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Создание условий для роста благосостояния граждан – получателей мер социальной поддержки, повышение доступности социального обслуживания населения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Управление социальной защиты населения</w:t>
            </w:r>
          </w:p>
        </w:tc>
      </w:tr>
      <w:tr w:rsidR="00A34EF3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</w:t>
            </w:r>
          </w:p>
          <w:p w:rsidR="00A34EF3" w:rsidRDefault="00E173B0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 xml:space="preserve">земельному налогу </w:t>
            </w:r>
            <w:r>
              <w:rPr>
                <w:sz w:val="20"/>
              </w:rPr>
              <w:t>управляющим компаниям индустриальных (промышленных) парков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уплаты земельного налога освобождаются в полном объеме на период до 2029 года управляющие компании индустриальных (промышленных) парков, включенные в реестр индустриальных (промышленных) парков,</w:t>
            </w:r>
            <w:r>
              <w:rPr>
                <w:rFonts w:ascii="Times New Roman" w:hAnsi="Times New Roman"/>
                <w:sz w:val="20"/>
              </w:rPr>
              <w:t xml:space="preserve"> управляющих компаний индустриальных (промышленных) парков в Челябинской </w:t>
            </w:r>
            <w:r>
              <w:rPr>
                <w:rFonts w:ascii="Times New Roman" w:hAnsi="Times New Roman"/>
                <w:sz w:val="20"/>
              </w:rPr>
              <w:lastRenderedPageBreak/>
              <w:t>области в соответствии с Порядком ведения реестра индустриальных (промышленных) парков, управляющих компаний индустриальных (промышленных) парков в Челябинской области, утвержденным п</w:t>
            </w:r>
            <w:r>
              <w:rPr>
                <w:rFonts w:ascii="Times New Roman" w:hAnsi="Times New Roman"/>
                <w:sz w:val="20"/>
              </w:rPr>
              <w:t>остановлением Правительства Челябинской области от 29 января 2016 года №13-П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A34EF3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п.п.7 п. 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программа</w:t>
            </w:r>
          </w:p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«Экономическое развитие и формирование инвестиционной привлекательности города </w:t>
            </w:r>
            <w:r>
              <w:rPr>
                <w:sz w:val="20"/>
              </w:rPr>
              <w:lastRenderedPageBreak/>
              <w:t>Магнитогорска» на 2025 – 2030 годы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Оказание содействия развитию </w:t>
            </w:r>
            <w:r>
              <w:rPr>
                <w:sz w:val="20"/>
              </w:rPr>
              <w:t>сферы малого и среднего предпринимательства города Магнитогорска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Управление экономики</w:t>
            </w:r>
          </w:p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и инвестиций</w:t>
            </w:r>
          </w:p>
        </w:tc>
      </w:tr>
      <w:tr w:rsidR="00A34EF3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 xml:space="preserve">льгота по земельному налогу в отношении земельных участков, относящихся к землям населенных пунктов и расположенных в границах территориальной зоны Р-4 </w:t>
            </w:r>
            <w:r>
              <w:rPr>
                <w:sz w:val="20"/>
              </w:rPr>
              <w:t>«Зона рекреационного назначения с объектами отдыха и социальной инфраструктуры» организациям, реализующим инвестиционные проекты по созданию новых объектов</w:t>
            </w:r>
          </w:p>
          <w:p w:rsidR="00A34EF3" w:rsidRDefault="00A34EF3">
            <w:pPr>
              <w:pStyle w:val="ConsPlusNormal1"/>
              <w:rPr>
                <w:sz w:val="20"/>
              </w:rPr>
            </w:pPr>
          </w:p>
          <w:p w:rsidR="00A34EF3" w:rsidRDefault="00A34EF3">
            <w:pPr>
              <w:pStyle w:val="ConsPlusNormal1"/>
              <w:rPr>
                <w:sz w:val="20"/>
              </w:rPr>
            </w:pPr>
          </w:p>
          <w:p w:rsidR="00A34EF3" w:rsidRDefault="00A34EF3">
            <w:pPr>
              <w:pStyle w:val="ConsPlusNormal1"/>
              <w:rPr>
                <w:sz w:val="20"/>
              </w:rPr>
            </w:pP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уплаты земельного налога освобождаются в полном объеме сроком на 5, 10 или 15 налоговых период</w:t>
            </w:r>
            <w:r>
              <w:rPr>
                <w:rFonts w:ascii="Times New Roman" w:hAnsi="Times New Roman"/>
                <w:sz w:val="20"/>
              </w:rPr>
              <w:t xml:space="preserve">ов организации, реализующие на территории города инвестиционные проекты по созданию новых объектов строительства (кроме жилой застройки), инфраструктуры, благоустройства, предусматривающие осуществление капитальных вложений в объеме не менее 250 миллионов </w:t>
            </w:r>
            <w:r>
              <w:rPr>
                <w:rFonts w:ascii="Times New Roman" w:hAnsi="Times New Roman"/>
                <w:sz w:val="20"/>
              </w:rPr>
              <w:t>рублей.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A34EF3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п.п.8 п.3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Стратегия социально - экономического развития города Магнитогорска на период до 2035 года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Повышение качества жизни, инновационное развитие социальной сферы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Управление экономики</w:t>
            </w:r>
          </w:p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и инвестиций</w:t>
            </w:r>
          </w:p>
        </w:tc>
      </w:tr>
      <w:tr w:rsidR="00A34EF3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8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 xml:space="preserve">льгота по земельному налогу организациям и </w:t>
            </w:r>
            <w:r>
              <w:rPr>
                <w:sz w:val="20"/>
              </w:rPr>
              <w:t>индивидуальным предпринимателям, осуществляющим деятельность в области спорта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уплаты земельного налога освобождаются в полном объеме организации и индивидуальные предприниматели, осуществляющие основной (дополнительный) вид экономической деятельности в </w:t>
            </w:r>
            <w:r>
              <w:rPr>
                <w:rFonts w:ascii="Times New Roman" w:hAnsi="Times New Roman"/>
                <w:sz w:val="20"/>
              </w:rPr>
              <w:t xml:space="preserve">области спорта (ОКВЭД </w:t>
            </w:r>
            <w:hyperlink r:id="rId4" w:tooltip="https://login.consultant.ru/link/?req=doc&amp;base=LAW&amp;n=506195&amp;dst=105512" w:history="1">
              <w:r>
                <w:rPr>
                  <w:rFonts w:ascii="Times New Roman" w:hAnsi="Times New Roman"/>
                  <w:sz w:val="20"/>
                </w:rPr>
                <w:t>93.11</w:t>
              </w:r>
            </w:hyperlink>
            <w:r>
              <w:rPr>
                <w:rFonts w:ascii="Times New Roman" w:hAnsi="Times New Roman"/>
                <w:sz w:val="20"/>
              </w:rPr>
              <w:t>), в отношении земельных участков с видом разрешенного использования</w:t>
            </w:r>
            <w:r>
              <w:rPr>
                <w:rFonts w:ascii="Times New Roman" w:hAnsi="Times New Roman"/>
                <w:sz w:val="20"/>
              </w:rPr>
              <w:t xml:space="preserve"> "Размещение зданий и сооружений для занятия спортом", занятых объектами спорта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A34EF3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п.п.9 п.3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программа «Развитие физической культуры и спорта в городе Магнитогорске» на 2025-2030 годы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С</w:t>
            </w:r>
            <w:r>
              <w:rPr>
                <w:rFonts w:ascii="Times New Roman" w:hAnsi="Times New Roman"/>
                <w:sz w:val="20"/>
              </w:rPr>
              <w:t xml:space="preserve">оздание условий, обеспечивающих равные возможности </w:t>
            </w:r>
            <w:r>
              <w:rPr>
                <w:rFonts w:ascii="Times New Roman" w:hAnsi="Times New Roman"/>
                <w:sz w:val="20"/>
              </w:rPr>
              <w:t>населению города вести здоровый образ жизни, систематически заниматься физической культурой и спортом;</w:t>
            </w:r>
          </w:p>
          <w:p w:rsidR="00A34EF3" w:rsidRDefault="00E173B0">
            <w:pPr>
              <w:spacing w:after="0" w:line="240" w:lineRule="auto"/>
              <w:ind w:left="150" w:right="150" w:hanging="150"/>
              <w:jc w:val="center"/>
            </w:pPr>
            <w:r>
              <w:rPr>
                <w:rFonts w:ascii="Times New Roman" w:hAnsi="Times New Roman"/>
                <w:sz w:val="20"/>
              </w:rPr>
              <w:t>повышение конкурентоспособности магнитогорских спортсменов на всероссийской и международных аренах;</w:t>
            </w:r>
          </w:p>
          <w:p w:rsidR="00A34EF3" w:rsidRDefault="00E173B0">
            <w:pPr>
              <w:spacing w:after="0"/>
              <w:jc w:val="center"/>
              <w:rPr>
                <w:rFonts w:ascii="Calibri" w:hAnsi="Calibri"/>
              </w:rPr>
            </w:pPr>
            <w:bookmarkStart w:id="2" w:name="__DdeLink__855_459951367"/>
            <w:bookmarkEnd w:id="2"/>
            <w:r>
              <w:rPr>
                <w:rFonts w:ascii="Times New Roman" w:hAnsi="Times New Roman"/>
                <w:sz w:val="20"/>
              </w:rPr>
              <w:t>повышение уровня обеспеченности населения города объе</w:t>
            </w:r>
            <w:r>
              <w:rPr>
                <w:rFonts w:ascii="Times New Roman" w:hAnsi="Times New Roman"/>
                <w:sz w:val="20"/>
              </w:rPr>
              <w:t>ктами спорта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Управление</w:t>
            </w:r>
          </w:p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по физической культуре</w:t>
            </w:r>
          </w:p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и спорту</w:t>
            </w:r>
          </w:p>
        </w:tc>
      </w:tr>
      <w:tr w:rsidR="00A34EF3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9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 земельному налогу малым технологическим компаниям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уплаты земельного налога освобождаются в полном объеме малые технологические компании, включенные в реестр в соответствии с </w:t>
            </w:r>
            <w:r>
              <w:rPr>
                <w:rFonts w:ascii="Times New Roman" w:hAnsi="Times New Roman"/>
                <w:sz w:val="20"/>
              </w:rPr>
              <w:t>Федеральным законом от 04.08.2023 № 478-ФЗ «О развитии технологических компаний в Российской Федерации»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A34EF3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п.п</w:t>
            </w:r>
            <w:proofErr w:type="spellEnd"/>
            <w:r>
              <w:rPr>
                <w:sz w:val="20"/>
              </w:rPr>
              <w:t>. 10 п. 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Стратегия социально - экономического развития города Магнитогорска на период до 2035 года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Развитие отраслей экономики как постоянного </w:t>
            </w:r>
            <w:r>
              <w:rPr>
                <w:sz w:val="20"/>
              </w:rPr>
              <w:t>места работы жителей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Управление экономики</w:t>
            </w:r>
          </w:p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и инвестиций</w:t>
            </w:r>
          </w:p>
        </w:tc>
      </w:tr>
      <w:tr w:rsidR="00A34EF3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 xml:space="preserve">пониженная ставка налога на имущество физических лиц по отдельным видам </w:t>
            </w:r>
            <w:r>
              <w:rPr>
                <w:sz w:val="20"/>
              </w:rPr>
              <w:lastRenderedPageBreak/>
              <w:t>объектов имущества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налоговая ставка устанавливается в размере 1,5 процента для объектов налогообложения, включенных в </w:t>
            </w:r>
            <w:r>
              <w:rPr>
                <w:rFonts w:ascii="Times New Roman" w:hAnsi="Times New Roman"/>
                <w:sz w:val="20"/>
              </w:rPr>
              <w:t xml:space="preserve">перечень, определяемый в соответствии с п. 7 статьи 378.2 НК РФ, а также </w:t>
            </w:r>
            <w:r>
              <w:rPr>
                <w:rFonts w:ascii="Times New Roman" w:hAnsi="Times New Roman"/>
                <w:sz w:val="20"/>
              </w:rPr>
              <w:lastRenderedPageBreak/>
              <w:t>для объектов налогообложения предусмотренных абзацем вторым п. 10 статьи 378.2 НК РФ</w:t>
            </w:r>
          </w:p>
        </w:tc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Решение МГСД от 24 ноября 2015 г. № 187</w:t>
            </w:r>
          </w:p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«О введении налога на </w:t>
            </w:r>
            <w:r>
              <w:rPr>
                <w:sz w:val="20"/>
              </w:rPr>
              <w:lastRenderedPageBreak/>
              <w:t>имущество физических лиц в городе Ма</w:t>
            </w:r>
            <w:r>
              <w:rPr>
                <w:sz w:val="20"/>
              </w:rPr>
              <w:t>гнитогорске»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п.п</w:t>
            </w:r>
            <w:proofErr w:type="spellEnd"/>
            <w:r>
              <w:rPr>
                <w:sz w:val="20"/>
              </w:rPr>
              <w:t>. 6, 7 п.3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программа</w:t>
            </w:r>
          </w:p>
          <w:p w:rsidR="00A34EF3" w:rsidRDefault="00E173B0">
            <w:pPr>
              <w:pStyle w:val="ConsPlusNormal1"/>
              <w:jc w:val="center"/>
              <w:rPr>
                <w:color w:val="FF0000"/>
                <w:sz w:val="20"/>
              </w:rPr>
            </w:pPr>
            <w:r>
              <w:rPr>
                <w:sz w:val="20"/>
              </w:rPr>
              <w:t xml:space="preserve">«Экономическое развитие и формирование </w:t>
            </w:r>
            <w:r>
              <w:rPr>
                <w:sz w:val="20"/>
              </w:rPr>
              <w:lastRenderedPageBreak/>
              <w:t>инвестиционной привлекательности города Магнитогорска» на 2025 – 2030 годы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Оказание содействия развитию сферы малого и среднего предпринимательства </w:t>
            </w:r>
            <w:r>
              <w:rPr>
                <w:sz w:val="20"/>
              </w:rPr>
              <w:lastRenderedPageBreak/>
              <w:t>города Магнитогорс</w:t>
            </w:r>
            <w:r>
              <w:rPr>
                <w:sz w:val="20"/>
              </w:rPr>
              <w:t>ка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Управление экономики</w:t>
            </w:r>
          </w:p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и инвестиций</w:t>
            </w:r>
          </w:p>
        </w:tc>
      </w:tr>
      <w:tr w:rsidR="00A34EF3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11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 налогу на имущество физических лиц льготной категории граждан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уплаты налога на имущество физических лиц в отношении одного объекта налогообложения каждого вида расположенного в пределах города </w:t>
            </w:r>
            <w:r>
              <w:rPr>
                <w:rFonts w:ascii="Times New Roman" w:hAnsi="Times New Roman"/>
                <w:sz w:val="20"/>
              </w:rPr>
              <w:t>Магнитогорска освобождаются в полном объеме следующие дополнительные категории налогоплательщиков:</w:t>
            </w:r>
          </w:p>
          <w:p w:rsidR="00A34EF3" w:rsidRDefault="00E173B0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1) </w:t>
            </w:r>
            <w:r>
              <w:rPr>
                <w:rFonts w:ascii="PT Serif" w:hAnsi="PT Serif"/>
                <w:color w:val="22272F"/>
                <w:sz w:val="23"/>
                <w:highlight w:val="white"/>
              </w:rPr>
              <w:t> </w:t>
            </w:r>
            <w:r>
              <w:rPr>
                <w:rFonts w:ascii="Times New Roman" w:hAnsi="Times New Roman"/>
                <w:sz w:val="20"/>
              </w:rPr>
              <w:t>члены семей, имеющие трех и более несовершеннолетних детей (детей в возрасте до 23 лет, обучающихся в образовательных организациях по очной форме обучени</w:t>
            </w:r>
            <w:r>
              <w:rPr>
                <w:rFonts w:ascii="Times New Roman" w:hAnsi="Times New Roman"/>
                <w:sz w:val="20"/>
              </w:rPr>
              <w:t>я);</w:t>
            </w:r>
          </w:p>
          <w:p w:rsidR="00A34EF3" w:rsidRDefault="00E173B0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2) члены семьей, воспитывающих детей-инвалидов;</w:t>
            </w:r>
          </w:p>
          <w:p w:rsidR="00A34EF3" w:rsidRDefault="00E173B0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3) члены семей, потерявшие кормильца и воспитывающие несовершеннолетних детей;</w:t>
            </w:r>
          </w:p>
          <w:p w:rsidR="00A34EF3" w:rsidRDefault="00E173B0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4) одинокие родители (лица, их замещающие) с ребенком или детьми в возрасте до 18 лет;</w:t>
            </w:r>
          </w:p>
          <w:p w:rsidR="00A34EF3" w:rsidRDefault="00E173B0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5) несовершеннолетние дети, родители, </w:t>
            </w:r>
            <w:r>
              <w:rPr>
                <w:rFonts w:ascii="Times New Roman" w:hAnsi="Times New Roman"/>
                <w:sz w:val="20"/>
              </w:rPr>
              <w:t>опекуны и попечители которых пользуются льготами по налогу на имущество физических лиц;</w:t>
            </w:r>
          </w:p>
          <w:p w:rsidR="00A34EF3" w:rsidRDefault="00E173B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6) инвалиды III группы, имеющие на иждивении престарелых родителей (в возрасте: отцы - 60 лет и старше, матери - 55 лет и старше) или несовершеннолетних детей.</w:t>
            </w: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A34EF3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п.5</w:t>
            </w:r>
          </w:p>
          <w:p w:rsidR="00A34EF3" w:rsidRDefault="00A34EF3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му</w:t>
            </w:r>
            <w:r>
              <w:rPr>
                <w:sz w:val="20"/>
              </w:rPr>
              <w:t>ниципальная программа «Социальное обслуживание и социальная поддержка жителей города Магнитогорска» на 2025 – 2030 годы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Создание условий для роста благосостояния граждан – получателей мер социальной поддержки, повышение доступности социального обслуживания</w:t>
            </w:r>
            <w:r>
              <w:rPr>
                <w:sz w:val="20"/>
              </w:rPr>
              <w:t xml:space="preserve"> населения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EF3" w:rsidRDefault="00E173B0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Управление социальной защиты населения</w:t>
            </w:r>
          </w:p>
        </w:tc>
      </w:tr>
    </w:tbl>
    <w:p w:rsidR="00A34EF3" w:rsidRDefault="00A34EF3">
      <w:pPr>
        <w:rPr>
          <w:sz w:val="16"/>
        </w:rPr>
      </w:pPr>
    </w:p>
    <w:sectPr w:rsidR="00A34EF3">
      <w:pgSz w:w="16838" w:h="11906" w:orient="landscape"/>
      <w:pgMar w:top="709" w:right="567" w:bottom="284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EF3"/>
    <w:rsid w:val="00A34EF3"/>
    <w:rsid w:val="00E1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5FB30"/>
  <w15:docId w15:val="{69639CA5-3464-43E3-B7ED-C198B81FD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/>
      <w:outlineLvl w:val="5"/>
    </w:pPr>
    <w:rPr>
      <w:rFonts w:ascii="Liberation Sans" w:hAnsi="Liberation Sans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/>
      <w:outlineLvl w:val="6"/>
    </w:pPr>
    <w:rPr>
      <w:rFonts w:ascii="Liberation Sans" w:hAnsi="Liberation Sans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/>
      <w:outlineLvl w:val="7"/>
    </w:pPr>
    <w:rPr>
      <w:rFonts w:ascii="Liberation Sans" w:hAnsi="Liberation Sans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/>
      <w:outlineLvl w:val="8"/>
    </w:pPr>
    <w:rPr>
      <w:rFonts w:ascii="Liberation Sans" w:hAnsi="Liberation Sans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pacing w:val="0"/>
      <w:sz w:val="22"/>
    </w:rPr>
  </w:style>
  <w:style w:type="paragraph" w:styleId="21">
    <w:name w:val="toc 2"/>
    <w:next w:val="a"/>
    <w:link w:val="22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210">
    <w:name w:val="Гиперссылка21"/>
    <w:link w:val="211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211">
    <w:name w:val="Гиперссылка21"/>
    <w:link w:val="210"/>
    <w:rPr>
      <w:rFonts w:ascii="Calibri" w:hAnsi="Calibri"/>
      <w:color w:val="0000FF"/>
      <w:spacing w:val="0"/>
      <w:sz w:val="22"/>
      <w:u w:val="single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</w:rPr>
  </w:style>
  <w:style w:type="paragraph" w:styleId="41">
    <w:name w:val="toc 4"/>
    <w:next w:val="a"/>
    <w:link w:val="42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character" w:customStyle="1" w:styleId="70">
    <w:name w:val="Заголовок 7 Знак"/>
    <w:basedOn w:val="1"/>
    <w:link w:val="7"/>
    <w:rPr>
      <w:rFonts w:ascii="Liberation Sans" w:hAnsi="Liberation Sans"/>
      <w:b/>
      <w:i/>
      <w:color w:val="000000"/>
      <w:spacing w:val="0"/>
      <w:sz w:val="22"/>
    </w:rPr>
  </w:style>
  <w:style w:type="paragraph" w:styleId="61">
    <w:name w:val="toc 6"/>
    <w:next w:val="a"/>
    <w:link w:val="62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color w:val="000000"/>
      <w:spacing w:val="0"/>
      <w:sz w:val="28"/>
    </w:rPr>
  </w:style>
  <w:style w:type="paragraph" w:styleId="71">
    <w:name w:val="toc 7"/>
    <w:next w:val="a"/>
    <w:link w:val="72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color w:val="000000"/>
      <w:spacing w:val="0"/>
      <w:sz w:val="28"/>
    </w:rPr>
  </w:style>
  <w:style w:type="paragraph" w:customStyle="1" w:styleId="EndnoteSymbol">
    <w:name w:val="Endnote Symbol"/>
    <w:basedOn w:val="DefaultParagraphFont1"/>
    <w:link w:val="EndnoteSymbol0"/>
    <w:rPr>
      <w:vertAlign w:val="superscript"/>
    </w:rPr>
  </w:style>
  <w:style w:type="character" w:customStyle="1" w:styleId="EndnoteSymbol0">
    <w:name w:val="Endnote Symbol"/>
    <w:basedOn w:val="DefaultParagraphFont10"/>
    <w:link w:val="EndnoteSymbol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ConsPlusNormal1">
    <w:name w:val="ConsPlusNormal1"/>
    <w:link w:val="ConsPlusNormal10"/>
    <w:rPr>
      <w:rFonts w:ascii="Times New Roman" w:hAnsi="Times New Roman"/>
      <w:sz w:val="28"/>
    </w:rPr>
  </w:style>
  <w:style w:type="character" w:customStyle="1" w:styleId="ConsPlusNormal10">
    <w:name w:val="ConsPlusNormal1"/>
    <w:link w:val="ConsPlusNormal1"/>
    <w:rPr>
      <w:rFonts w:ascii="Times New Roman" w:hAnsi="Times New Roman"/>
      <w:color w:val="000000"/>
      <w:spacing w:val="0"/>
      <w:sz w:val="28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BalloonText1">
    <w:name w:val="Balloon Text1"/>
    <w:basedOn w:val="a"/>
    <w:link w:val="BalloonText10"/>
    <w:pPr>
      <w:spacing w:after="0" w:line="240" w:lineRule="auto"/>
    </w:pPr>
    <w:rPr>
      <w:rFonts w:ascii="Segoe UI" w:hAnsi="Segoe UI"/>
      <w:sz w:val="18"/>
    </w:rPr>
  </w:style>
  <w:style w:type="character" w:customStyle="1" w:styleId="BalloonText10">
    <w:name w:val="Balloon Text1"/>
    <w:basedOn w:val="1"/>
    <w:link w:val="BalloonText1"/>
    <w:rPr>
      <w:rFonts w:ascii="Segoe UI" w:hAnsi="Segoe UI"/>
      <w:color w:val="000000"/>
      <w:spacing w:val="0"/>
      <w:sz w:val="18"/>
    </w:rPr>
  </w:style>
  <w:style w:type="paragraph" w:customStyle="1" w:styleId="Quote1">
    <w:name w:val="Quote1"/>
    <w:basedOn w:val="a"/>
    <w:next w:val="a"/>
    <w:link w:val="Quote10"/>
    <w:pPr>
      <w:ind w:left="720" w:right="720"/>
    </w:pPr>
    <w:rPr>
      <w:i/>
    </w:rPr>
  </w:style>
  <w:style w:type="character" w:customStyle="1" w:styleId="Quote10">
    <w:name w:val="Quote1"/>
    <w:basedOn w:val="1"/>
    <w:link w:val="Quote1"/>
    <w:rPr>
      <w:rFonts w:asciiTheme="minorHAnsi" w:hAnsiTheme="minorHAnsi"/>
      <w:i/>
      <w:color w:val="000000"/>
      <w:spacing w:val="0"/>
      <w:sz w:val="22"/>
    </w:rPr>
  </w:style>
  <w:style w:type="paragraph" w:customStyle="1" w:styleId="Internetlink">
    <w:name w:val="Internet link"/>
    <w:link w:val="Internetlink0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2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styleId="a3">
    <w:name w:val="header"/>
    <w:basedOn w:val="a"/>
    <w:link w:val="a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rPr>
      <w:rFonts w:asciiTheme="minorHAnsi" w:hAnsiTheme="minorHAnsi"/>
      <w:color w:val="000000"/>
      <w:spacing w:val="0"/>
      <w:sz w:val="22"/>
    </w:rPr>
  </w:style>
  <w:style w:type="paragraph" w:customStyle="1" w:styleId="ListParagraph1">
    <w:name w:val="List Paragraph1"/>
    <w:basedOn w:val="a"/>
    <w:link w:val="ListParagraph10"/>
    <w:pPr>
      <w:ind w:left="720"/>
      <w:contextualSpacing/>
    </w:pPr>
  </w:style>
  <w:style w:type="character" w:customStyle="1" w:styleId="ListParagraph10">
    <w:name w:val="List Paragraph1"/>
    <w:basedOn w:val="1"/>
    <w:link w:val="ListParagraph1"/>
    <w:rPr>
      <w:rFonts w:asciiTheme="minorHAnsi" w:hAnsiTheme="minorHAnsi"/>
      <w:color w:val="000000"/>
      <w:spacing w:val="0"/>
      <w:sz w:val="22"/>
    </w:rPr>
  </w:style>
  <w:style w:type="paragraph" w:customStyle="1" w:styleId="FigureIndex1">
    <w:name w:val="Figure Index 1"/>
    <w:link w:val="FigureIndex10"/>
  </w:style>
  <w:style w:type="character" w:customStyle="1" w:styleId="FigureIndex10">
    <w:name w:val="Figure Index 1"/>
    <w:link w:val="FigureIndex1"/>
  </w:style>
  <w:style w:type="paragraph" w:styleId="a5">
    <w:name w:val="Title"/>
    <w:next w:val="a6"/>
    <w:link w:val="a7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character" w:customStyle="1" w:styleId="12">
    <w:name w:val="Заголовок1"/>
    <w:basedOn w:val="1"/>
    <w:rPr>
      <w:rFonts w:ascii="PT Astra Serif" w:hAnsi="PT Astra Serif"/>
      <w:color w:val="000000"/>
      <w:spacing w:val="0"/>
      <w:sz w:val="28"/>
    </w:rPr>
  </w:style>
  <w:style w:type="character" w:customStyle="1" w:styleId="90">
    <w:name w:val="Заголовок 9 Знак"/>
    <w:basedOn w:val="1"/>
    <w:link w:val="9"/>
    <w:rPr>
      <w:rFonts w:ascii="Liberation Sans" w:hAnsi="Liberation Sans"/>
      <w:i/>
      <w:color w:val="000000"/>
      <w:spacing w:val="0"/>
      <w:sz w:val="21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paragraph" w:customStyle="1" w:styleId="13">
    <w:name w:val="Знак сноски1"/>
    <w:link w:val="a8"/>
    <w:rPr>
      <w:vertAlign w:val="superscript"/>
    </w:rPr>
  </w:style>
  <w:style w:type="character" w:styleId="a8">
    <w:name w:val="footnote reference"/>
    <w:link w:val="13"/>
    <w:rPr>
      <w:vertAlign w:val="superscript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TitleChar1">
    <w:name w:val="Title Char1"/>
    <w:basedOn w:val="DefaultParagraphFont1"/>
    <w:link w:val="TitleChar10"/>
    <w:rPr>
      <w:sz w:val="48"/>
    </w:rPr>
  </w:style>
  <w:style w:type="character" w:customStyle="1" w:styleId="TitleChar10">
    <w:name w:val="Title Char1"/>
    <w:basedOn w:val="DefaultParagraphFont10"/>
    <w:link w:val="TitleChar1"/>
    <w:rPr>
      <w:rFonts w:asciiTheme="minorHAnsi" w:hAnsiTheme="minorHAnsi"/>
      <w:color w:val="000000"/>
      <w:spacing w:val="0"/>
      <w:sz w:val="48"/>
    </w:rPr>
  </w:style>
  <w:style w:type="paragraph" w:customStyle="1" w:styleId="Heading91">
    <w:name w:val="Heading 91"/>
    <w:link w:val="Heading910"/>
    <w:rPr>
      <w:rFonts w:ascii="Liberation Sans" w:hAnsi="Liberation Sans"/>
      <w:i/>
      <w:sz w:val="21"/>
    </w:rPr>
  </w:style>
  <w:style w:type="character" w:customStyle="1" w:styleId="Heading910">
    <w:name w:val="Heading 91"/>
    <w:link w:val="Heading91"/>
    <w:rPr>
      <w:rFonts w:ascii="Liberation Sans" w:hAnsi="Liberation Sans"/>
      <w:i/>
      <w:sz w:val="21"/>
    </w:rPr>
  </w:style>
  <w:style w:type="paragraph" w:styleId="a9">
    <w:name w:val="table of figures"/>
    <w:basedOn w:val="a"/>
    <w:next w:val="a"/>
    <w:link w:val="aa"/>
    <w:pPr>
      <w:spacing w:after="0"/>
    </w:pPr>
  </w:style>
  <w:style w:type="character" w:customStyle="1" w:styleId="aa">
    <w:name w:val="Перечень рисунков Знак"/>
    <w:basedOn w:val="1"/>
    <w:link w:val="a9"/>
    <w:rPr>
      <w:rFonts w:asciiTheme="minorHAnsi" w:hAnsiTheme="minorHAnsi"/>
      <w:color w:val="000000"/>
      <w:spacing w:val="0"/>
      <w:sz w:val="22"/>
    </w:rPr>
  </w:style>
  <w:style w:type="paragraph" w:styleId="a6">
    <w:name w:val="Body Text"/>
    <w:basedOn w:val="a"/>
    <w:link w:val="ab"/>
    <w:pPr>
      <w:spacing w:after="140"/>
    </w:pPr>
  </w:style>
  <w:style w:type="character" w:customStyle="1" w:styleId="ab">
    <w:name w:val="Основной текст Знак"/>
    <w:basedOn w:val="1"/>
    <w:link w:val="a6"/>
    <w:rPr>
      <w:rFonts w:asciiTheme="minorHAnsi" w:hAnsiTheme="minorHAnsi"/>
      <w:color w:val="000000"/>
      <w:spacing w:val="0"/>
      <w:sz w:val="22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paragraph" w:customStyle="1" w:styleId="Caption1">
    <w:name w:val="Caption1"/>
    <w:link w:val="Caption10"/>
    <w:rPr>
      <w:b/>
      <w:color w:val="5B9BD5" w:themeColor="accent1"/>
      <w:sz w:val="18"/>
    </w:rPr>
  </w:style>
  <w:style w:type="character" w:customStyle="1" w:styleId="Caption10">
    <w:name w:val="Caption1"/>
    <w:link w:val="Caption1"/>
    <w:rPr>
      <w:b/>
      <w:color w:val="5B9BD5" w:themeColor="accent1"/>
      <w:sz w:val="18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SubtitleChar1">
    <w:name w:val="Subtitle Char1"/>
    <w:basedOn w:val="DefaultParagraphFont1"/>
    <w:link w:val="SubtitleChar10"/>
    <w:rPr>
      <w:sz w:val="24"/>
    </w:rPr>
  </w:style>
  <w:style w:type="character" w:customStyle="1" w:styleId="SubtitleChar10">
    <w:name w:val="Subtitle Char1"/>
    <w:basedOn w:val="DefaultParagraphFont10"/>
    <w:link w:val="SubtitleChar1"/>
    <w:rPr>
      <w:rFonts w:asciiTheme="minorHAnsi" w:hAnsiTheme="minorHAnsi"/>
      <w:color w:val="000000"/>
      <w:spacing w:val="0"/>
      <w:sz w:val="24"/>
    </w:rPr>
  </w:style>
  <w:style w:type="paragraph" w:styleId="31">
    <w:name w:val="toc 3"/>
    <w:next w:val="a"/>
    <w:link w:val="32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Heading5Char1">
    <w:name w:val="Heading 5 Char1"/>
    <w:basedOn w:val="DefaultParagraphFont1"/>
    <w:link w:val="Heading5Char10"/>
    <w:rPr>
      <w:rFonts w:ascii="Liberation Sans" w:hAnsi="Liberation Sans"/>
      <w:b/>
      <w:sz w:val="24"/>
    </w:rPr>
  </w:style>
  <w:style w:type="character" w:customStyle="1" w:styleId="Heading5Char10">
    <w:name w:val="Heading 5 Char1"/>
    <w:basedOn w:val="DefaultParagraphFont10"/>
    <w:link w:val="Heading5Char1"/>
    <w:rPr>
      <w:rFonts w:ascii="Liberation Sans" w:hAnsi="Liberation Sans"/>
      <w:b/>
      <w:color w:val="000000"/>
      <w:spacing w:val="0"/>
      <w:sz w:val="24"/>
    </w:rPr>
  </w:style>
  <w:style w:type="paragraph" w:styleId="ac">
    <w:name w:val="TOC Heading"/>
    <w:link w:val="ad"/>
    <w:pPr>
      <w:spacing w:after="160" w:line="264" w:lineRule="auto"/>
    </w:pPr>
  </w:style>
  <w:style w:type="character" w:customStyle="1" w:styleId="ad">
    <w:name w:val="Заголовок оглавления Знак"/>
    <w:link w:val="ac"/>
    <w:rPr>
      <w:rFonts w:asciiTheme="minorHAnsi" w:hAnsiTheme="minorHAnsi"/>
      <w:color w:val="000000"/>
      <w:spacing w:val="0"/>
      <w:sz w:val="22"/>
    </w:rPr>
  </w:style>
  <w:style w:type="paragraph" w:customStyle="1" w:styleId="Footnote1">
    <w:name w:val="Footnote1"/>
    <w:link w:val="Foot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customStyle="1" w:styleId="NoSpacing1">
    <w:name w:val="No Spacing1"/>
    <w:link w:val="NoSpacing10"/>
  </w:style>
  <w:style w:type="character" w:customStyle="1" w:styleId="NoSpacing10">
    <w:name w:val="No Spacing1"/>
    <w:link w:val="NoSpacing1"/>
    <w:rPr>
      <w:rFonts w:asciiTheme="minorHAnsi" w:hAnsiTheme="minorHAnsi"/>
      <w:color w:val="000000"/>
      <w:spacing w:val="0"/>
      <w:sz w:val="22"/>
    </w:rPr>
  </w:style>
  <w:style w:type="paragraph" w:customStyle="1" w:styleId="DefaultParagraphFont1">
    <w:name w:val="Default Paragraph Font1"/>
    <w:link w:val="DefaultParagraphFont10"/>
    <w:pPr>
      <w:spacing w:after="160" w:line="264" w:lineRule="auto"/>
    </w:pPr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pacing w:val="0"/>
      <w:sz w:val="22"/>
    </w:rPr>
  </w:style>
  <w:style w:type="paragraph" w:styleId="ae">
    <w:name w:val="caption"/>
    <w:basedOn w:val="a"/>
    <w:next w:val="a"/>
    <w:link w:val="af"/>
    <w:rPr>
      <w:b/>
      <w:color w:val="5B9BD5" w:themeColor="accent1"/>
      <w:sz w:val="18"/>
    </w:rPr>
  </w:style>
  <w:style w:type="character" w:customStyle="1" w:styleId="af">
    <w:name w:val="Название объекта Знак"/>
    <w:basedOn w:val="1"/>
    <w:link w:val="ae"/>
    <w:rPr>
      <w:rFonts w:asciiTheme="minorHAnsi" w:hAnsiTheme="minorHAnsi"/>
      <w:b/>
      <w:color w:val="5B9BD5" w:themeColor="accent1"/>
      <w:spacing w:val="0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Heading4Char1">
    <w:name w:val="Heading 4 Char1"/>
    <w:basedOn w:val="DefaultParagraphFont1"/>
    <w:link w:val="Heading4Char10"/>
    <w:rPr>
      <w:rFonts w:ascii="Liberation Sans" w:hAnsi="Liberation Sans"/>
      <w:b/>
      <w:sz w:val="26"/>
    </w:rPr>
  </w:style>
  <w:style w:type="character" w:customStyle="1" w:styleId="Heading4Char10">
    <w:name w:val="Heading 4 Char1"/>
    <w:basedOn w:val="DefaultParagraphFont10"/>
    <w:link w:val="Heading4Char1"/>
    <w:rPr>
      <w:rFonts w:ascii="Liberation Sans" w:hAnsi="Liberation Sans"/>
      <w:b/>
      <w:color w:val="000000"/>
      <w:spacing w:val="0"/>
      <w:sz w:val="26"/>
    </w:rPr>
  </w:style>
  <w:style w:type="paragraph" w:customStyle="1" w:styleId="110">
    <w:name w:val="Гиперссылка11"/>
    <w:link w:val="111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111">
    <w:name w:val="Гиперссылка11"/>
    <w:link w:val="110"/>
    <w:rPr>
      <w:rFonts w:ascii="Calibri" w:hAnsi="Calibri"/>
      <w:color w:val="0000FF"/>
      <w:spacing w:val="0"/>
      <w:sz w:val="22"/>
      <w:u w:val="single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112">
    <w:name w:val="Обычный11"/>
    <w:link w:val="113"/>
    <w:pPr>
      <w:spacing w:after="160" w:line="264" w:lineRule="auto"/>
    </w:pPr>
  </w:style>
  <w:style w:type="character" w:customStyle="1" w:styleId="113">
    <w:name w:val="Обычный11"/>
    <w:link w:val="112"/>
    <w:rPr>
      <w:rFonts w:asciiTheme="minorHAnsi" w:hAnsiTheme="minorHAnsi"/>
      <w:color w:val="000000"/>
      <w:spacing w:val="0"/>
      <w:sz w:val="22"/>
    </w:rPr>
  </w:style>
  <w:style w:type="paragraph" w:customStyle="1" w:styleId="14">
    <w:name w:val="Гиперссылка1"/>
    <w:link w:val="af0"/>
    <w:rPr>
      <w:color w:val="0000FF"/>
      <w:u w:val="single"/>
    </w:rPr>
  </w:style>
  <w:style w:type="character" w:styleId="af0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="Liberation Sans" w:hAnsi="Liberation Sans"/>
      <w:i/>
      <w:color w:val="000000"/>
      <w:spacing w:val="0"/>
      <w:sz w:val="22"/>
    </w:rPr>
  </w:style>
  <w:style w:type="paragraph" w:styleId="15">
    <w:name w:val="toc 1"/>
    <w:next w:val="a"/>
    <w:link w:val="16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color w:val="000000"/>
      <w:spacing w:val="0"/>
      <w:sz w:val="28"/>
    </w:rPr>
  </w:style>
  <w:style w:type="paragraph" w:customStyle="1" w:styleId="Heading2Char1">
    <w:name w:val="Heading 2 Char1"/>
    <w:basedOn w:val="DefaultParagraphFont1"/>
    <w:link w:val="Heading2Char10"/>
    <w:rPr>
      <w:rFonts w:ascii="Liberation Sans" w:hAnsi="Liberation Sans"/>
      <w:sz w:val="34"/>
    </w:rPr>
  </w:style>
  <w:style w:type="character" w:customStyle="1" w:styleId="Heading2Char10">
    <w:name w:val="Heading 2 Char1"/>
    <w:basedOn w:val="DefaultParagraphFont10"/>
    <w:link w:val="Heading2Char1"/>
    <w:rPr>
      <w:rFonts w:ascii="Liberation Sans" w:hAnsi="Liberation Sans"/>
      <w:color w:val="000000"/>
      <w:spacing w:val="0"/>
      <w:sz w:val="34"/>
    </w:rPr>
  </w:style>
  <w:style w:type="paragraph" w:customStyle="1" w:styleId="HeaderandFooter2">
    <w:name w:val="Header and Footer2"/>
    <w:basedOn w:val="a"/>
    <w:link w:val="HeaderandFooter20"/>
  </w:style>
  <w:style w:type="character" w:customStyle="1" w:styleId="HeaderandFooter20">
    <w:name w:val="Header and Footer2"/>
    <w:basedOn w:val="1"/>
    <w:link w:val="HeaderandFooter2"/>
    <w:rPr>
      <w:rFonts w:asciiTheme="minorHAnsi" w:hAnsiTheme="minorHAnsi"/>
      <w:color w:val="000000"/>
      <w:spacing w:val="0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Heading71">
    <w:name w:val="Heading 71"/>
    <w:link w:val="Heading710"/>
    <w:rPr>
      <w:rFonts w:ascii="Liberation Sans" w:hAnsi="Liberation Sans"/>
      <w:b/>
      <w:i/>
    </w:rPr>
  </w:style>
  <w:style w:type="character" w:customStyle="1" w:styleId="Heading710">
    <w:name w:val="Heading 71"/>
    <w:link w:val="Heading71"/>
    <w:rPr>
      <w:rFonts w:ascii="Liberation Sans" w:hAnsi="Liberation Sans"/>
      <w:b/>
      <w:i/>
      <w:sz w:val="22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af1">
    <w:name w:val="index heading"/>
    <w:basedOn w:val="a"/>
    <w:link w:val="af2"/>
    <w:rPr>
      <w:rFonts w:ascii="PT Astra Serif" w:hAnsi="PT Astra Serif"/>
    </w:rPr>
  </w:style>
  <w:style w:type="character" w:customStyle="1" w:styleId="17">
    <w:name w:val="Указатель1"/>
    <w:basedOn w:val="12"/>
    <w:rPr>
      <w:rFonts w:ascii="PT Astra Serif" w:hAnsi="PT Astra Serif"/>
      <w:color w:val="000000"/>
      <w:spacing w:val="0"/>
      <w:sz w:val="28"/>
    </w:rPr>
  </w:style>
  <w:style w:type="paragraph" w:customStyle="1" w:styleId="Heading61">
    <w:name w:val="Heading 61"/>
    <w:link w:val="Heading610"/>
    <w:rPr>
      <w:rFonts w:ascii="Liberation Sans" w:hAnsi="Liberation Sans"/>
      <w:b/>
    </w:rPr>
  </w:style>
  <w:style w:type="character" w:customStyle="1" w:styleId="Heading610">
    <w:name w:val="Heading 61"/>
    <w:link w:val="Heading61"/>
    <w:rPr>
      <w:rFonts w:ascii="Liberation Sans" w:hAnsi="Liberation Sans"/>
      <w:b/>
      <w:sz w:val="22"/>
    </w:rPr>
  </w:style>
  <w:style w:type="paragraph" w:styleId="91">
    <w:name w:val="toc 9"/>
    <w:next w:val="a"/>
    <w:link w:val="92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color w:val="000000"/>
      <w:spacing w:val="0"/>
      <w:sz w:val="28"/>
    </w:rPr>
  </w:style>
  <w:style w:type="paragraph" w:customStyle="1" w:styleId="Heading81">
    <w:name w:val="Heading 81"/>
    <w:link w:val="Heading810"/>
    <w:rPr>
      <w:rFonts w:ascii="Liberation Sans" w:hAnsi="Liberation Sans"/>
      <w:i/>
    </w:rPr>
  </w:style>
  <w:style w:type="character" w:customStyle="1" w:styleId="Heading810">
    <w:name w:val="Heading 81"/>
    <w:link w:val="Heading81"/>
    <w:rPr>
      <w:rFonts w:ascii="Liberation Sans" w:hAnsi="Liberation Sans"/>
      <w:i/>
      <w:sz w:val="22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customStyle="1" w:styleId="HeaderandFooter1">
    <w:name w:val="Header and Footer1"/>
    <w:link w:val="HeaderandFooter10"/>
    <w:pPr>
      <w:spacing w:after="160"/>
      <w:jc w:val="both"/>
    </w:pPr>
    <w:rPr>
      <w:rFonts w:ascii="XO Thames" w:hAnsi="XO Thames"/>
      <w:sz w:val="20"/>
    </w:rPr>
  </w:style>
  <w:style w:type="character" w:customStyle="1" w:styleId="HeaderandFooter10">
    <w:name w:val="Header and Footer1"/>
    <w:link w:val="HeaderandFooter1"/>
    <w:rPr>
      <w:rFonts w:ascii="XO Thames" w:hAnsi="XO Thames"/>
      <w:color w:val="000000"/>
      <w:spacing w:val="0"/>
      <w:sz w:val="20"/>
    </w:rPr>
  </w:style>
  <w:style w:type="paragraph" w:customStyle="1" w:styleId="18">
    <w:name w:val="Знак концевой сноски1"/>
    <w:link w:val="af3"/>
    <w:rPr>
      <w:vertAlign w:val="superscript"/>
    </w:rPr>
  </w:style>
  <w:style w:type="character" w:styleId="af3">
    <w:name w:val="endnote reference"/>
    <w:link w:val="18"/>
    <w:rPr>
      <w:vertAlign w:val="superscript"/>
    </w:rPr>
  </w:style>
  <w:style w:type="paragraph" w:styleId="81">
    <w:name w:val="toc 8"/>
    <w:next w:val="a"/>
    <w:link w:val="82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color w:val="000000"/>
      <w:spacing w:val="0"/>
      <w:sz w:val="28"/>
    </w:rPr>
  </w:style>
  <w:style w:type="paragraph" w:customStyle="1" w:styleId="Endnote1">
    <w:name w:val="Endnote1"/>
    <w:link w:val="End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customStyle="1" w:styleId="114">
    <w:name w:val="Основной шрифт абзаца11"/>
    <w:link w:val="115"/>
    <w:pPr>
      <w:spacing w:after="160" w:line="264" w:lineRule="auto"/>
    </w:pPr>
  </w:style>
  <w:style w:type="character" w:customStyle="1" w:styleId="115">
    <w:name w:val="Основной шрифт абзаца11"/>
    <w:link w:val="114"/>
    <w:rPr>
      <w:rFonts w:asciiTheme="minorHAnsi" w:hAnsiTheme="minorHAnsi"/>
      <w:color w:val="000000"/>
      <w:spacing w:val="0"/>
      <w:sz w:val="22"/>
    </w:rPr>
  </w:style>
  <w:style w:type="paragraph" w:styleId="af4">
    <w:name w:val="List"/>
    <w:basedOn w:val="a6"/>
    <w:link w:val="af5"/>
    <w:rPr>
      <w:rFonts w:ascii="PT Astra Serif" w:hAnsi="PT Astra Serif"/>
    </w:rPr>
  </w:style>
  <w:style w:type="character" w:customStyle="1" w:styleId="af5">
    <w:name w:val="Список Знак"/>
    <w:basedOn w:val="ab"/>
    <w:link w:val="af4"/>
    <w:rPr>
      <w:rFonts w:ascii="PT Astra Serif" w:hAnsi="PT Astra Serif"/>
      <w:color w:val="000000"/>
      <w:spacing w:val="0"/>
      <w:sz w:val="22"/>
    </w:rPr>
  </w:style>
  <w:style w:type="paragraph" w:customStyle="1" w:styleId="af6">
    <w:name w:val="Символ сноски"/>
    <w:basedOn w:val="DefaultParagraphFont1"/>
    <w:link w:val="af7"/>
    <w:rPr>
      <w:vertAlign w:val="superscript"/>
    </w:rPr>
  </w:style>
  <w:style w:type="character" w:customStyle="1" w:styleId="af7">
    <w:name w:val="Символ сноски"/>
    <w:basedOn w:val="DefaultParagraphFont10"/>
    <w:link w:val="af6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Heading3Char1">
    <w:name w:val="Heading 3 Char1"/>
    <w:basedOn w:val="DefaultParagraphFont1"/>
    <w:link w:val="Heading3Char10"/>
    <w:rPr>
      <w:rFonts w:ascii="Liberation Sans" w:hAnsi="Liberation Sans"/>
      <w:sz w:val="30"/>
    </w:rPr>
  </w:style>
  <w:style w:type="character" w:customStyle="1" w:styleId="Heading3Char10">
    <w:name w:val="Heading 3 Char1"/>
    <w:basedOn w:val="DefaultParagraphFont10"/>
    <w:link w:val="Heading3Char1"/>
    <w:rPr>
      <w:rFonts w:ascii="Liberation Sans" w:hAnsi="Liberation Sans"/>
      <w:color w:val="000000"/>
      <w:spacing w:val="0"/>
      <w:sz w:val="30"/>
    </w:rPr>
  </w:style>
  <w:style w:type="paragraph" w:styleId="51">
    <w:name w:val="toc 5"/>
    <w:next w:val="a"/>
    <w:link w:val="52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Heading1Char1">
    <w:name w:val="Heading 1 Char1"/>
    <w:basedOn w:val="DefaultParagraphFont1"/>
    <w:link w:val="Heading1Char10"/>
    <w:rPr>
      <w:rFonts w:ascii="Liberation Sans" w:hAnsi="Liberation Sans"/>
      <w:sz w:val="40"/>
    </w:rPr>
  </w:style>
  <w:style w:type="character" w:customStyle="1" w:styleId="Heading1Char10">
    <w:name w:val="Heading 1 Char1"/>
    <w:basedOn w:val="DefaultParagraphFont10"/>
    <w:link w:val="Heading1Char1"/>
    <w:rPr>
      <w:rFonts w:ascii="Liberation Sans" w:hAnsi="Liberation Sans"/>
      <w:color w:val="000000"/>
      <w:spacing w:val="0"/>
      <w:sz w:val="40"/>
    </w:rPr>
  </w:style>
  <w:style w:type="paragraph" w:customStyle="1" w:styleId="ContentsHeading">
    <w:name w:val="Contents Heading"/>
    <w:link w:val="ContentsHeading0"/>
  </w:style>
  <w:style w:type="character" w:customStyle="1" w:styleId="ContentsHeading0">
    <w:name w:val="Contents Heading"/>
    <w:link w:val="ContentsHeading"/>
  </w:style>
  <w:style w:type="paragraph" w:customStyle="1" w:styleId="IntenseQuote1">
    <w:name w:val="Intense Quote1"/>
    <w:basedOn w:val="a"/>
    <w:next w:val="a"/>
    <w:link w:val="IntenseQuote10"/>
    <w:pPr>
      <w:ind w:left="720" w:right="720"/>
    </w:pPr>
    <w:rPr>
      <w:i/>
    </w:rPr>
  </w:style>
  <w:style w:type="character" w:customStyle="1" w:styleId="IntenseQuote10">
    <w:name w:val="Intense Quote1"/>
    <w:basedOn w:val="1"/>
    <w:link w:val="IntenseQuote1"/>
    <w:rPr>
      <w:rFonts w:asciiTheme="minorHAnsi" w:hAnsiTheme="minorHAnsi"/>
      <w:i/>
      <w:color w:val="000000"/>
      <w:spacing w:val="0"/>
      <w:sz w:val="22"/>
    </w:rPr>
  </w:style>
  <w:style w:type="paragraph" w:styleId="af8">
    <w:name w:val="Subtitle"/>
    <w:next w:val="a"/>
    <w:link w:val="af9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color w:val="000000"/>
      <w:spacing w:val="0"/>
      <w:sz w:val="24"/>
    </w:rPr>
  </w:style>
  <w:style w:type="paragraph" w:customStyle="1" w:styleId="afa">
    <w:name w:val="Символ концевой сноски"/>
    <w:link w:val="afb"/>
    <w:rPr>
      <w:vertAlign w:val="superscript"/>
    </w:rPr>
  </w:style>
  <w:style w:type="character" w:customStyle="1" w:styleId="afb">
    <w:name w:val="Символ концевой сноски"/>
    <w:link w:val="afa"/>
    <w:rPr>
      <w:vertAlign w:val="superscript"/>
    </w:rPr>
  </w:style>
  <w:style w:type="character" w:customStyle="1" w:styleId="af2">
    <w:name w:val="Указатель Знак"/>
    <w:basedOn w:val="1"/>
    <w:link w:val="af1"/>
    <w:rPr>
      <w:rFonts w:ascii="PT Astra Serif" w:hAnsi="PT Astra Serif"/>
      <w:color w:val="000000"/>
      <w:spacing w:val="0"/>
      <w:sz w:val="22"/>
    </w:rPr>
  </w:style>
  <w:style w:type="character" w:customStyle="1" w:styleId="a7">
    <w:name w:val="Заголовок Знак"/>
    <w:link w:val="a5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FootnoteSymbol">
    <w:name w:val="Footnote Symbol"/>
    <w:basedOn w:val="DefaultParagraphFont1"/>
    <w:link w:val="FootnoteSymbol0"/>
    <w:rPr>
      <w:vertAlign w:val="superscript"/>
    </w:rPr>
  </w:style>
  <w:style w:type="character" w:customStyle="1" w:styleId="FootnoteSymbol0">
    <w:name w:val="Footnote Symbol"/>
    <w:basedOn w:val="DefaultParagraphFont10"/>
    <w:link w:val="FootnoteSymbol"/>
    <w:rPr>
      <w:rFonts w:asciiTheme="minorHAnsi" w:hAnsiTheme="minorHAnsi"/>
      <w:color w:val="000000"/>
      <w:spacing w:val="0"/>
      <w:sz w:val="22"/>
      <w:vertAlign w:val="superscript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character" w:customStyle="1" w:styleId="60">
    <w:name w:val="Заголовок 6 Знак"/>
    <w:basedOn w:val="1"/>
    <w:link w:val="6"/>
    <w:rPr>
      <w:rFonts w:ascii="Liberation Sans" w:hAnsi="Liberation Sans"/>
      <w:b/>
      <w:color w:val="000000"/>
      <w:spacing w:val="0"/>
      <w:sz w:val="22"/>
    </w:rPr>
  </w:style>
  <w:style w:type="paragraph" w:styleId="afc">
    <w:name w:val="footer"/>
    <w:basedOn w:val="a"/>
    <w:link w:val="af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d">
    <w:name w:val="Нижний колонтитул Знак"/>
    <w:basedOn w:val="1"/>
    <w:link w:val="afc"/>
    <w:rPr>
      <w:rFonts w:asciiTheme="minorHAnsi" w:hAnsiTheme="minorHAnsi"/>
      <w:color w:val="000000"/>
      <w:spacing w:val="0"/>
      <w:sz w:val="22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table" w:customStyle="1" w:styleId="ListTable2-Accent2">
    <w:name w:val="List Table 2 - Accent 2"/>
    <w:basedOn w:val="a1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BorderedLined-Accent4">
    <w:name w:val="Bordered &amp; Lined - Accent 4"/>
    <w:basedOn w:val="a1"/>
    <w:tblPr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</w:style>
  <w:style w:type="table" w:customStyle="1" w:styleId="ListTable6Colorful-Accent3">
    <w:name w:val="List Table 6 Colorful - Accent 3"/>
    <w:basedOn w:val="a1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GridTable4-Accent2">
    <w:name w:val="Grid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styleId="-2">
    <w:name w:val="Grid Table 2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2-Accent6">
    <w:name w:val="Grid Table 2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4-Accent4">
    <w:name w:val="Grid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ListTable5Dark-Accent4">
    <w:name w:val="List Table 5 Dark - Accent 4"/>
    <w:basedOn w:val="a1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styleId="19">
    <w:name w:val="Plain Table 1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6">
    <w:name w:val="Grid Table 1 Light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1Light-Accent5">
    <w:name w:val="List Table 1 Light - Accent 5"/>
    <w:basedOn w:val="a1"/>
    <w:tblPr/>
  </w:style>
  <w:style w:type="table" w:customStyle="1" w:styleId="GridTable4-Accent1">
    <w:name w:val="Grid Table 4 - Accent 1"/>
    <w:basedOn w:val="a1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customStyle="1" w:styleId="ListTable5Dark-Accent1">
    <w:name w:val="List Table 5 Dark - Accent 1"/>
    <w:basedOn w:val="a1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styleId="-4">
    <w:name w:val="Grid Table 4"/>
    <w:basedOn w:val="a1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ned-Accent">
    <w:name w:val="Lined - Accent"/>
    <w:basedOn w:val="a1"/>
    <w:tblPr/>
  </w:style>
  <w:style w:type="table" w:styleId="a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4">
    <w:name w:val="Grid Table 7 Colorful - Accent 4"/>
    <w:basedOn w:val="a1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6Colorful-Accent4">
    <w:name w:val="Grid Table 6 Colorful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7Colorful-Accent1">
    <w:name w:val="Grid Table 7 Colorful - Accent 1"/>
    <w:basedOn w:val="a1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TableGridLight">
    <w:name w:val="Table Grid Light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3-Accent1">
    <w:name w:val="Grid Table 3 - Accent 1"/>
    <w:basedOn w:val="a1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GridTable3-Accent4">
    <w:name w:val="Grid Table 3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styleId="-20">
    <w:name w:val="List Table 2"/>
    <w:basedOn w:val="a1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styleId="23">
    <w:name w:val="Plain Table 2"/>
    <w:basedOn w:val="a1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ListTable7Colorful-Accent2">
    <w:name w:val="List Table 7 Colorful - Accent 2"/>
    <w:basedOn w:val="a1"/>
    <w:tblPr>
      <w:tblBorders>
        <w:right w:val="single" w:sz="4" w:space="0" w:color="F4B184" w:themeColor="accent2" w:themeTint="97"/>
      </w:tblBorders>
    </w:tblPr>
  </w:style>
  <w:style w:type="table" w:customStyle="1" w:styleId="GridTable5Dark-Accent6">
    <w:name w:val="Grid Table 5 Dark - Accent 6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1">
    <w:name w:val="List Table 1 Light"/>
    <w:basedOn w:val="a1"/>
    <w:tblPr/>
  </w:style>
  <w:style w:type="table" w:customStyle="1" w:styleId="ListTable6Colorful-Accent4">
    <w:name w:val="List Table 6 Colorful - Accent 4"/>
    <w:basedOn w:val="a1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styleId="53">
    <w:name w:val="Plain Table 5"/>
    <w:basedOn w:val="a1"/>
    <w:tblPr/>
  </w:style>
  <w:style w:type="table" w:customStyle="1" w:styleId="ListTable5Dark-Accent6">
    <w:name w:val="List Table 5 Dark - Accent 6"/>
    <w:basedOn w:val="a1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GridTable6Colorful-Accent6">
    <w:name w:val="Grid Table 6 Colorful - Accent 6"/>
    <w:basedOn w:val="a1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2-Accent4">
    <w:name w:val="Grid Table 2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ned-Accent1">
    <w:name w:val="Lined - Accent 1"/>
    <w:basedOn w:val="a1"/>
    <w:tblPr/>
  </w:style>
  <w:style w:type="table" w:customStyle="1" w:styleId="GridTable2-Accent1">
    <w:name w:val="Grid Table 2 - Accent 1"/>
    <w:basedOn w:val="a1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4-Accent4">
    <w:name w:val="List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6Colorful-Accent5">
    <w:name w:val="Grid Table 6 Colorful - Accent 5"/>
    <w:basedOn w:val="a1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Bordered-Accent1">
    <w:name w:val="Bordered - Accent 1"/>
    <w:basedOn w:val="a1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ListTable2-Accent1">
    <w:name w:val="List Table 2 - Accent 1"/>
    <w:basedOn w:val="a1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GridTable2-Accent2">
    <w:name w:val="Grid Table 2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6Colorful-Accent3">
    <w:name w:val="Grid Table 6 Colorful - Accent 3"/>
    <w:basedOn w:val="a1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2-Accent5">
    <w:name w:val="List Table 2 - Accent 5"/>
    <w:basedOn w:val="a1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ListTable6Colorful-Accent2">
    <w:name w:val="List Table 6 Colorful - Accent 2"/>
    <w:basedOn w:val="a1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ListTable4-Accent1">
    <w:name w:val="List Table 4 - Accent 1"/>
    <w:basedOn w:val="a1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styleId="-5">
    <w:name w:val="Grid Table 5 Dark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3">
    <w:name w:val="List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stTable7Colorful-Accent1">
    <w:name w:val="List Table 7 Colorful - Accent 1"/>
    <w:basedOn w:val="a1"/>
    <w:tblPr>
      <w:tblBorders>
        <w:right w:val="single" w:sz="4" w:space="0" w:color="5B9BD5" w:themeColor="accent1"/>
      </w:tblBorders>
    </w:tblPr>
  </w:style>
  <w:style w:type="table" w:customStyle="1" w:styleId="GridTable1Light-Accent4">
    <w:name w:val="Grid Table 1 Light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3-Accent2">
    <w:name w:val="Grid Table 3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1Light-Accent3">
    <w:name w:val="List Table 1 Light - Accent 3"/>
    <w:basedOn w:val="a1"/>
    <w:tblPr/>
  </w:style>
  <w:style w:type="table" w:customStyle="1" w:styleId="GridTable4-Accent5">
    <w:name w:val="Grid Table 4 - Accent 5"/>
    <w:basedOn w:val="a1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Lined-Accent3">
    <w:name w:val="Lined - Accent 3"/>
    <w:basedOn w:val="a1"/>
    <w:tblPr/>
  </w:style>
  <w:style w:type="table" w:customStyle="1" w:styleId="ListTable4-Accent6">
    <w:name w:val="List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4-Accent6">
    <w:name w:val="Grid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1Light-Accent4">
    <w:name w:val="List Table 1 Light - Accent 4"/>
    <w:basedOn w:val="a1"/>
    <w:tblPr/>
  </w:style>
  <w:style w:type="table" w:styleId="-6">
    <w:name w:val="List Table 6 Colorful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6Colorful-Accent1">
    <w:name w:val="Grid Table 6 Colorful - Accent 1"/>
    <w:basedOn w:val="a1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GridTable1Light-Accent3">
    <w:name w:val="Grid Table 1 Light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BorderedLined-Accent5">
    <w:name w:val="Bordered &amp; Lined - Accent 5"/>
    <w:basedOn w:val="a1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7Colorful-Accent2">
    <w:name w:val="Grid Table 7 Colorful - Accent 2"/>
    <w:basedOn w:val="a1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3-Accent3">
    <w:name w:val="Grid Table 3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3-Accent2">
    <w:name w:val="List Table 3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Lined-Accent5">
    <w:name w:val="Lined - Accent 5"/>
    <w:basedOn w:val="a1"/>
    <w:tblPr/>
  </w:style>
  <w:style w:type="table" w:customStyle="1" w:styleId="ListTable1Light-Accent6">
    <w:name w:val="List Table 1 Light - Accent 6"/>
    <w:basedOn w:val="a1"/>
    <w:tblPr/>
  </w:style>
  <w:style w:type="table" w:customStyle="1" w:styleId="Bordered-Accent2">
    <w:name w:val="Bordered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2-Accent3">
    <w:name w:val="Grid Table 2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1Light-Accent5">
    <w:name w:val="Grid Table 1 Light - Accent 5"/>
    <w:basedOn w:val="a1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GridTable5Dark-Accent1">
    <w:name w:val="Grid Table 5 Dark- Accent 1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5">
    <w:name w:val="List Table 5 Dark - Accent 5"/>
    <w:basedOn w:val="a1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customStyle="1" w:styleId="ListTable5Dark-Accent3">
    <w:name w:val="List Table 5 Dark - Accent 3"/>
    <w:basedOn w:val="a1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ListTable6Colorful-Accent5">
    <w:name w:val="List Table 6 Colorful - Accent 5"/>
    <w:basedOn w:val="a1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ListTable4-Accent5">
    <w:name w:val="List Table 4 - Accent 5"/>
    <w:basedOn w:val="a1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Lined-Accent6">
    <w:name w:val="Lined - Accent 6"/>
    <w:basedOn w:val="a1"/>
    <w:tblPr/>
  </w:style>
  <w:style w:type="table" w:customStyle="1" w:styleId="Bordered-Accent4">
    <w:name w:val="Bordered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6Colorful-Accent2">
    <w:name w:val="Grid Table 6 Colorful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BorderedLined-Accent2">
    <w:name w:val="Bordered &amp; Lined - Accent 2"/>
    <w:basedOn w:val="a1"/>
    <w:tblPr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</w:style>
  <w:style w:type="table" w:styleId="-10">
    <w:name w:val="Grid Table 1 Light"/>
    <w:basedOn w:val="a1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GridTable2-Accent5">
    <w:name w:val="Grid Table 2 - Accent 5"/>
    <w:basedOn w:val="a1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7Colorful-Accent3">
    <w:name w:val="List Table 7 Colorful - Accent 3"/>
    <w:basedOn w:val="a1"/>
    <w:tblPr>
      <w:tblBorders>
        <w:right w:val="single" w:sz="4" w:space="0" w:color="C9C9C9" w:themeColor="accent3" w:themeTint="98"/>
      </w:tblBorders>
    </w:tblPr>
  </w:style>
  <w:style w:type="table" w:styleId="-40">
    <w:name w:val="List Table 4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ListTable5Dark-Accent2">
    <w:name w:val="List Table 5 Dark - Accent 2"/>
    <w:basedOn w:val="a1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Lined-Accent2">
    <w:name w:val="Lined - Accent 2"/>
    <w:basedOn w:val="a1"/>
    <w:tblPr/>
  </w:style>
  <w:style w:type="table" w:customStyle="1" w:styleId="GridTable1Light-Accent1">
    <w:name w:val="Grid Table 1 Light - Accent 1"/>
    <w:basedOn w:val="a1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ListTable7Colorful-Accent4">
    <w:name w:val="List Table 7 Colorful - Accent 4"/>
    <w:basedOn w:val="a1"/>
    <w:tblPr>
      <w:tblBorders>
        <w:right w:val="single" w:sz="4" w:space="0" w:color="FFD865" w:themeColor="accent4" w:themeTint="9A"/>
      </w:tblBorders>
    </w:tblPr>
  </w:style>
  <w:style w:type="table" w:styleId="43">
    <w:name w:val="Plain Table 4"/>
    <w:basedOn w:val="a1"/>
    <w:tblPr/>
  </w:style>
  <w:style w:type="table" w:customStyle="1" w:styleId="GridTable1Light-Accent2">
    <w:name w:val="Grid Table 1 Light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styleId="-60">
    <w:name w:val="Grid Table 6 Colorful"/>
    <w:basedOn w:val="a1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3-Accent6">
    <w:name w:val="List Table 3 - Accent 6"/>
    <w:basedOn w:val="a1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GridTable7Colorful-Accent6">
    <w:name w:val="Grid Table 7 Colorful - Accent 6"/>
    <w:basedOn w:val="a1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3-Accent5">
    <w:name w:val="Grid Table 3 - Accent 5"/>
    <w:basedOn w:val="a1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1Light-Accent2">
    <w:name w:val="List Table 1 Light - Accent 2"/>
    <w:basedOn w:val="a1"/>
    <w:tblPr/>
  </w:style>
  <w:style w:type="table" w:styleId="-7">
    <w:name w:val="List Table 7 Colorful"/>
    <w:basedOn w:val="a1"/>
    <w:tblPr>
      <w:tblBorders>
        <w:right w:val="single" w:sz="4" w:space="0" w:color="7F7F7F" w:themeColor="text1" w:themeTint="80"/>
      </w:tblBorders>
    </w:tblPr>
  </w:style>
  <w:style w:type="table" w:customStyle="1" w:styleId="ListTable3-Accent5">
    <w:name w:val="List Table 3 - Accent 5"/>
    <w:basedOn w:val="a1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customStyle="1" w:styleId="ListTable3-Accent1">
    <w:name w:val="List Table 3 - Accent 1"/>
    <w:basedOn w:val="a1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customStyle="1" w:styleId="ListTable1Light-Accent1">
    <w:name w:val="List Table 1 Light - Accent 1"/>
    <w:basedOn w:val="a1"/>
    <w:tblPr/>
  </w:style>
  <w:style w:type="table" w:customStyle="1" w:styleId="ListTable7Colorful-Accent6">
    <w:name w:val="List Table 7 Colorful - Accent 6"/>
    <w:basedOn w:val="a1"/>
    <w:tblPr>
      <w:tblBorders>
        <w:right w:val="single" w:sz="4" w:space="0" w:color="A9D08E" w:themeColor="accent6" w:themeTint="98"/>
      </w:tblBorders>
    </w:tblPr>
  </w:style>
  <w:style w:type="table" w:styleId="-3">
    <w:name w:val="List Table 3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ned-Accent4">
    <w:name w:val="Lined - Accent 4"/>
    <w:basedOn w:val="a1"/>
    <w:tblPr/>
  </w:style>
  <w:style w:type="table" w:customStyle="1" w:styleId="BorderedLined-Accent1">
    <w:name w:val="Bordered &amp; Lined - Accent 1"/>
    <w:basedOn w:val="a1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</w:style>
  <w:style w:type="table" w:customStyle="1" w:styleId="BorderedLined-Accent">
    <w:name w:val="Bordered &amp; Lined - Accent"/>
    <w:basedOn w:val="a1"/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ListTable6Colorful-Accent6">
    <w:name w:val="List Table 6 Colorful - Accent 6"/>
    <w:basedOn w:val="a1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GridTable3-Accent6">
    <w:name w:val="Grid Table 3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4-Accent2">
    <w:name w:val="List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5Dark-Accent3">
    <w:name w:val="Grid Table 5 Dark - Accent 3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6">
    <w:name w:val="Bordered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Bordered-Accent5">
    <w:name w:val="Bordered - Accent 5"/>
    <w:basedOn w:val="a1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Bordered-Accent3">
    <w:name w:val="Bordered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4-Accent3">
    <w:name w:val="Grid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BorderedLined-Accent3">
    <w:name w:val="Bordered &amp; Lined - Accent 3"/>
    <w:basedOn w:val="a1"/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</w:style>
  <w:style w:type="table" w:customStyle="1" w:styleId="ListTable7Colorful-Accent5">
    <w:name w:val="List Table 7 Colorful - Accent 5"/>
    <w:basedOn w:val="a1"/>
    <w:tblPr>
      <w:tblBorders>
        <w:right w:val="single" w:sz="4" w:space="0" w:color="8DA9DB" w:themeColor="accent5" w:themeTint="9A"/>
      </w:tblBorders>
    </w:tblPr>
  </w:style>
  <w:style w:type="table" w:styleId="-50">
    <w:name w:val="List Table 5 Dark"/>
    <w:basedOn w:val="a1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styleId="-30">
    <w:name w:val="Grid Table 3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styleId="-70">
    <w:name w:val="Grid Table 7 Colorful"/>
    <w:basedOn w:val="a1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BorderedLined-Accent6">
    <w:name w:val="Bordered &amp; Lined - Accent 6"/>
    <w:basedOn w:val="a1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styleId="33">
    <w:name w:val="Plain Table 3"/>
    <w:basedOn w:val="a1"/>
    <w:tblPr/>
  </w:style>
  <w:style w:type="table" w:customStyle="1" w:styleId="ListTable3-Accent4">
    <w:name w:val="List Table 3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ListTable2-Accent3">
    <w:name w:val="List Table 2 - Accent 3"/>
    <w:basedOn w:val="a1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Bordered">
    <w:name w:val="Bordered"/>
    <w:basedOn w:val="a1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7Colorful-Accent3">
    <w:name w:val="Grid Table 7 Colorful - Accent 3"/>
    <w:basedOn w:val="a1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7Colorful-Accent5">
    <w:name w:val="Grid Table 7 Colorful - Accent 5"/>
    <w:basedOn w:val="a1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ListTable2-Accent4">
    <w:name w:val="List Table 2 - Accent 4"/>
    <w:basedOn w:val="a1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6Colorful-Accent1">
    <w:name w:val="List Table 6 Colorful - Accent 1"/>
    <w:basedOn w:val="a1"/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GridTable5Dark-Accent4">
    <w:name w:val="Grid Table 5 Dark- Accent 4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3">
    <w:name w:val="List Table 3 - Accent 3"/>
    <w:basedOn w:val="a1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GridTable5Dark-Accent5">
    <w:name w:val="Grid Table 5 Dark - Accent 5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2-Accent6">
    <w:name w:val="List Table 2 - Accent 6"/>
    <w:basedOn w:val="a1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5Dark-Accent2">
    <w:name w:val="Grid Table 5 Dark - Accent 2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paragraph" w:customStyle="1" w:styleId="ConsPlusNormal">
    <w:name w:val="ConsPlusNormal"/>
    <w:rsid w:val="00E173B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2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06195&amp;dst=1055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1604</Words>
  <Characters>9149</Characters>
  <Application>Microsoft Office Word</Application>
  <DocSecurity>0</DocSecurity>
  <Lines>76</Lines>
  <Paragraphs>21</Paragraphs>
  <ScaleCrop>false</ScaleCrop>
  <Company/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Николаевна Шарафмаль</cp:lastModifiedBy>
  <cp:revision>2</cp:revision>
  <dcterms:created xsi:type="dcterms:W3CDTF">2026-09-29T11:05:00Z</dcterms:created>
  <dcterms:modified xsi:type="dcterms:W3CDTF">2026-10-05T10:20:00Z</dcterms:modified>
</cp:coreProperties>
</file>