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504" w:rsidRDefault="000C3BF5">
      <w:pPr>
        <w:pStyle w:val="ConsPlusNormal1"/>
        <w:jc w:val="center"/>
        <w:rPr>
          <w:sz w:val="24"/>
        </w:rPr>
      </w:pPr>
      <w:bookmarkStart w:id="0" w:name="P149"/>
      <w:bookmarkEnd w:id="0"/>
      <w:r>
        <w:rPr>
          <w:sz w:val="24"/>
        </w:rPr>
        <w:t>ПЕРЕЧЕНЬ</w:t>
      </w:r>
    </w:p>
    <w:p w:rsidR="000C3BF5" w:rsidRDefault="000C3BF5" w:rsidP="000C3BF5">
      <w:pPr>
        <w:pStyle w:val="ConsPlusNormal"/>
        <w:jc w:val="center"/>
        <w:rPr>
          <w:sz w:val="24"/>
        </w:rPr>
      </w:pPr>
      <w:r>
        <w:rPr>
          <w:sz w:val="24"/>
        </w:rPr>
        <w:t xml:space="preserve">налоговых расходов города Магнитогорска на 2026 год </w:t>
      </w:r>
      <w:r>
        <w:rPr>
          <w:sz w:val="24"/>
        </w:rPr>
        <w:t>и плановый период 202</w:t>
      </w:r>
      <w:r>
        <w:rPr>
          <w:sz w:val="24"/>
        </w:rPr>
        <w:t>7</w:t>
      </w:r>
      <w:r>
        <w:rPr>
          <w:sz w:val="24"/>
        </w:rPr>
        <w:t xml:space="preserve"> и 202</w:t>
      </w:r>
      <w:r>
        <w:rPr>
          <w:sz w:val="24"/>
        </w:rPr>
        <w:t>8</w:t>
      </w:r>
      <w:r>
        <w:rPr>
          <w:sz w:val="24"/>
        </w:rPr>
        <w:t xml:space="preserve"> годов</w:t>
      </w:r>
    </w:p>
    <w:tbl>
      <w:tblPr>
        <w:tblW w:w="1618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80"/>
        <w:gridCol w:w="1901"/>
        <w:gridCol w:w="4361"/>
        <w:gridCol w:w="1875"/>
        <w:gridCol w:w="1876"/>
        <w:gridCol w:w="1929"/>
        <w:gridCol w:w="2084"/>
        <w:gridCol w:w="1576"/>
      </w:tblGrid>
      <w:tr w:rsidR="00F16504" w:rsidTr="000C3BF5">
        <w:trPr>
          <w:tblHeader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>Краткое наименование налогового расхода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>Полное наименование налогового расхода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>Реквизиты нормативного правового акта, устанавливающего налоговый расход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 xml:space="preserve">Структурная единица нормативного </w:t>
            </w:r>
            <w:r>
              <w:rPr>
                <w:sz w:val="20"/>
              </w:rPr>
              <w:t>правового акта, устанавливающего</w:t>
            </w:r>
          </w:p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>налоговый расход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>Наименование муниципальной программы и (или) целей социально - экономической политики города, не относящихся к муниципальным программам, которым соответствуют налоговые расходы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>Цели муниципальной программы</w:t>
            </w:r>
          </w:p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 xml:space="preserve">и (или) цели социально-экономической политики города, не </w:t>
            </w:r>
            <w:bookmarkStart w:id="1" w:name="_GoBack"/>
            <w:bookmarkEnd w:id="1"/>
            <w:r>
              <w:rPr>
                <w:sz w:val="20"/>
              </w:rPr>
              <w:t>относящиеся к муниципальным программам, которым соответствуют налоговые расходы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</w:pPr>
            <w:r>
              <w:rPr>
                <w:sz w:val="20"/>
              </w:rPr>
              <w:t>Куратор налогового расхода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F16504" w:rsidTr="000C3BF5">
        <w:trPr>
          <w:trHeight w:val="1044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земельному налогу органам местного самоуправления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</w:t>
            </w:r>
            <w:r>
              <w:rPr>
                <w:rFonts w:ascii="Times New Roman" w:hAnsi="Times New Roman"/>
                <w:sz w:val="20"/>
              </w:rPr>
              <w:t>земельного налога освобождаются в полном объеме органы местного самоуправления в отношении земельных участков, предоставленных для обеспечения их деятельности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Решение МГСД от 28.04.2010 № 73 «Об утверждении Положения о земельном налоге на территории города</w:t>
            </w:r>
            <w:r>
              <w:rPr>
                <w:sz w:val="20"/>
              </w:rPr>
              <w:t xml:space="preserve"> Магнитогорска» (далее – Решение)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1 п.3</w:t>
            </w:r>
          </w:p>
        </w:tc>
        <w:tc>
          <w:tcPr>
            <w:tcW w:w="4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техническая целевая категория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Отдел бухгалтерского учета и отчетности</w:t>
            </w:r>
          </w:p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администрации города Магнитогорска</w:t>
            </w:r>
          </w:p>
          <w:p w:rsidR="00F16504" w:rsidRDefault="00F16504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F16504" w:rsidRDefault="000C3BF5">
            <w:pPr>
              <w:pStyle w:val="ConsPlusNormal1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земельному налогу организациям, осуществляющим деятельность с использованием социально </w:t>
            </w:r>
            <w:r>
              <w:rPr>
                <w:sz w:val="20"/>
              </w:rPr>
              <w:t>значимых объектов городской инфраструктуры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земельного налога освобождаются в полном объеме организации в отношении земельных участков, используемых в целях обеспечения их деятельности, занятых объектами инженерной инфраструктуры (электро-, тепло-</w:t>
            </w:r>
            <w:r>
              <w:rPr>
                <w:rFonts w:ascii="Times New Roman" w:hAnsi="Times New Roman"/>
                <w:sz w:val="20"/>
              </w:rPr>
              <w:t>, водоснабжение, водоотведение, очистка сточных вод), контейнерными площадками для бытовых отходов, объектами для утилизации (захоронения) твердых бытовых отходов, трамвайными путями, закрепленными за ними собственником на праве хозяйственного ведения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2 п.3</w:t>
            </w:r>
          </w:p>
        </w:tc>
        <w:tc>
          <w:tcPr>
            <w:tcW w:w="4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техническая целевая категория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транспорта и коммунального хозяйства</w:t>
            </w:r>
          </w:p>
        </w:tc>
      </w:tr>
      <w:tr w:rsidR="00F16504" w:rsidTr="000C3BF5">
        <w:trPr>
          <w:trHeight w:val="2866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F16504" w:rsidRDefault="000C3BF5">
            <w:pPr>
              <w:pStyle w:val="ConsPlusNormal1"/>
              <w:rPr>
                <w:sz w:val="20"/>
                <w:highlight w:val="yellow"/>
              </w:rPr>
            </w:pPr>
            <w:r>
              <w:rPr>
                <w:sz w:val="20"/>
              </w:rPr>
              <w:t>земельному налогу садоводческим, огородническим некоммерческим объединениям граждан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освобождаются в полном объеме садоводческие, </w:t>
            </w:r>
            <w:r>
              <w:rPr>
                <w:rFonts w:ascii="Times New Roman" w:hAnsi="Times New Roman"/>
                <w:sz w:val="20"/>
              </w:rPr>
              <w:t>огороднические некоммерческие объединения граждан в отношении земель общего пользования данных объединений (лесозащитных полос, проездов и других земель, не занятых индивидуальными садовыми, огородническими участками), а также в отношении земельных участко</w:t>
            </w:r>
            <w:r>
              <w:rPr>
                <w:rFonts w:ascii="Times New Roman" w:hAnsi="Times New Roman"/>
                <w:sz w:val="20"/>
              </w:rPr>
              <w:t xml:space="preserve">в, используемых для садоводства, огородничества лицами, указанными в </w:t>
            </w:r>
            <w:proofErr w:type="spellStart"/>
            <w:r>
              <w:rPr>
                <w:rFonts w:ascii="Times New Roman" w:hAnsi="Times New Roman"/>
                <w:sz w:val="20"/>
              </w:rPr>
              <w:t>п.п</w:t>
            </w:r>
            <w:proofErr w:type="spellEnd"/>
            <w:r>
              <w:rPr>
                <w:rFonts w:ascii="Times New Roman" w:hAnsi="Times New Roman"/>
                <w:sz w:val="20"/>
              </w:rPr>
              <w:t>. 4 п.3 Решения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3 п.3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«Поддержка садоводческих некоммерческих товариществ, расположенных на территории города 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Оказание </w:t>
            </w:r>
            <w:r>
              <w:rPr>
                <w:sz w:val="20"/>
              </w:rPr>
              <w:t>поддержки садоводческим некоммерческим товариществам, расположенным на территории города Магнитогорска, в рамках полномочий органов местного самоуправления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Отдел бухгалтерского учета и отчетности</w:t>
            </w:r>
          </w:p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администрации города Магнитогорска</w:t>
            </w:r>
          </w:p>
          <w:p w:rsidR="00F16504" w:rsidRDefault="00F16504">
            <w:pPr>
              <w:pStyle w:val="ConsPlusNormal1"/>
              <w:jc w:val="center"/>
              <w:rPr>
                <w:sz w:val="20"/>
              </w:rPr>
            </w:pPr>
          </w:p>
        </w:tc>
      </w:tr>
      <w:tr w:rsidR="00F16504" w:rsidTr="000C3BF5">
        <w:trPr>
          <w:trHeight w:val="1977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 xml:space="preserve">земельному </w:t>
            </w:r>
            <w:r>
              <w:rPr>
                <w:sz w:val="20"/>
              </w:rPr>
              <w:t>налогу льготным категориям граждан в отношении земельных участков определённых видов разрешённого использования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земельного налога в отношении одного объекта каждого вида земельных участков (части земельных участков), занятых индивидуальным жилищн</w:t>
            </w:r>
            <w:r>
              <w:rPr>
                <w:rFonts w:ascii="Times New Roman" w:hAnsi="Times New Roman"/>
                <w:sz w:val="20"/>
              </w:rPr>
              <w:t>ым фондом или предоставленных (приобретенных) для индивидуального жилищного строительства, площадь которых не превышает 1500 м2, а также в отношении земельных участков, предоставленных (приобретенных) для личного подсобного хозяйства, садоводства, огородни</w:t>
            </w:r>
            <w:r>
              <w:rPr>
                <w:rFonts w:ascii="Times New Roman" w:hAnsi="Times New Roman"/>
                <w:sz w:val="20"/>
              </w:rPr>
              <w:t>чества или занятых индивидуальными и кооперативными гаражами, погребами освобождаются категории граждан указанные п. 5статьи 391 НК РФ и дополнительные категории налогоплательщиков:</w:t>
            </w:r>
          </w:p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инвалиды III группы;</w:t>
            </w:r>
          </w:p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- </w:t>
            </w:r>
            <w:r>
              <w:rPr>
                <w:rFonts w:ascii="PT Serif" w:hAnsi="PT Serif"/>
                <w:color w:val="22272F"/>
                <w:sz w:val="23"/>
                <w:highlight w:val="white"/>
              </w:rPr>
              <w:t> </w:t>
            </w:r>
            <w:r>
              <w:rPr>
                <w:rFonts w:ascii="Times New Roman" w:hAnsi="Times New Roman"/>
                <w:sz w:val="20"/>
              </w:rPr>
              <w:t>члены семей, имеющие трех и более несовершенноле</w:t>
            </w:r>
            <w:r>
              <w:rPr>
                <w:rFonts w:ascii="Times New Roman" w:hAnsi="Times New Roman"/>
                <w:sz w:val="20"/>
              </w:rPr>
              <w:t>тних детей (детей в возрасте до 23 лет, обучающихся в образовательных организациях по очной форме обучения);</w:t>
            </w:r>
          </w:p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члены семей, воспитывающих детей-инвалидов;</w:t>
            </w:r>
          </w:p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- члены семей, потерявших кормильца и воспитывающих несовершеннолетних детей;</w:t>
            </w:r>
          </w:p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одинокие родители (ли</w:t>
            </w:r>
            <w:r>
              <w:rPr>
                <w:rFonts w:ascii="Times New Roman" w:hAnsi="Times New Roman"/>
                <w:sz w:val="20"/>
              </w:rPr>
              <w:t>ца, их замещающие) с ребенком или детьми в возрасте до 18 лет;</w:t>
            </w:r>
          </w:p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несовершеннолетние дети, родители, опекуны и попечители которых пользуются льготами по налогу на имущество физических лиц;</w:t>
            </w:r>
          </w:p>
          <w:p w:rsidR="00F16504" w:rsidRDefault="000C3BF5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граждане, выполнявшие интернациональный долг в Республике Афганист</w:t>
            </w:r>
            <w:r>
              <w:rPr>
                <w:rFonts w:ascii="Times New Roman" w:hAnsi="Times New Roman"/>
                <w:sz w:val="20"/>
              </w:rPr>
              <w:t>ан;</w:t>
            </w:r>
          </w:p>
          <w:p w:rsidR="00F16504" w:rsidRDefault="000C3BF5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граждане, принимавшие участие в боевых действиях на территории Чеченской республики.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4 п.3</w:t>
            </w:r>
          </w:p>
          <w:p w:rsidR="00F16504" w:rsidRDefault="00F16504">
            <w:pPr>
              <w:pStyle w:val="ConsPlusNormal1"/>
              <w:rPr>
                <w:sz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«Социальное обслуживание и социальная поддержка жителей города 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Создание условий для роста бла</w:t>
            </w:r>
            <w:r>
              <w:rPr>
                <w:sz w:val="20"/>
              </w:rPr>
              <w:t>госостояния граждан – получателей мер социальной поддержки, повышение доступности социального обслуживания населения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социальной защиты населения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F16504" w:rsidRDefault="000C3BF5">
            <w:pPr>
              <w:pStyle w:val="ConsPlusNormal1"/>
              <w:rPr>
                <w:sz w:val="20"/>
                <w:highlight w:val="yellow"/>
              </w:rPr>
            </w:pPr>
            <w:r>
              <w:rPr>
                <w:sz w:val="20"/>
              </w:rPr>
              <w:t>земельному налогу гаражным кооперативам, погребам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</w:t>
            </w:r>
            <w:r>
              <w:rPr>
                <w:rFonts w:ascii="Times New Roman" w:hAnsi="Times New Roman"/>
                <w:sz w:val="20"/>
              </w:rPr>
              <w:t>освобождаются гаражные кооперативы, погреба в отношении земель общего пользования данных организаций (лесозащитных полос, проездов и других земель, не занятых индивидуальными и кооперативными гаражами, погребами) пропорционально числу их членов, являющихся</w:t>
            </w:r>
            <w:r>
              <w:rPr>
                <w:rFonts w:ascii="Times New Roman" w:hAnsi="Times New Roman"/>
                <w:sz w:val="20"/>
              </w:rPr>
              <w:t xml:space="preserve"> пенсионерами, а также в отношении земельных участков, занятых гаражами, погребами, принадлежащих лицам, указанным в </w:t>
            </w:r>
            <w:proofErr w:type="spellStart"/>
            <w:r>
              <w:rPr>
                <w:rFonts w:ascii="Times New Roman" w:hAnsi="Times New Roman"/>
                <w:sz w:val="20"/>
              </w:rPr>
              <w:t>п.п</w:t>
            </w:r>
            <w:proofErr w:type="spellEnd"/>
            <w:r>
              <w:rPr>
                <w:rFonts w:ascii="Times New Roman" w:hAnsi="Times New Roman"/>
                <w:sz w:val="20"/>
              </w:rPr>
              <w:t>. 4 п.3 Решения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п.п.5 п. 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«Социальное обслуживание и социальная поддержка жителей города Магнитогорска»</w:t>
            </w:r>
            <w:r>
              <w:rPr>
                <w:sz w:val="20"/>
              </w:rPr>
              <w:t xml:space="preserve">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Создание условий для роста благосостояния граждан – получателей мер социальной поддержки, повышение доступности социального обслуживания населения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социальной защиты населения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</w:t>
            </w:r>
          </w:p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земельному налогу управляющим компан</w:t>
            </w:r>
            <w:r>
              <w:rPr>
                <w:sz w:val="20"/>
              </w:rPr>
              <w:t>иям индустриальных (промышленных) парков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освобождаются в полном объеме на период до 2029 года управляющие компании индустриальных (промышленных) парков, включенные в реестр индустриальных (промышленных) парков, управляющих </w:t>
            </w:r>
            <w:r>
              <w:rPr>
                <w:rFonts w:ascii="Times New Roman" w:hAnsi="Times New Roman"/>
                <w:sz w:val="20"/>
              </w:rPr>
              <w:t xml:space="preserve">компаний индустриальных (промышленных) парков в Челябинской </w:t>
            </w:r>
            <w:r>
              <w:rPr>
                <w:rFonts w:ascii="Times New Roman" w:hAnsi="Times New Roman"/>
                <w:sz w:val="20"/>
              </w:rPr>
              <w:lastRenderedPageBreak/>
              <w:t>области в соответствии с Порядком ведения реестра индустриальных (промышленных) парков, управляющих компаний индустриальных (промышленных) парков в Челябинской области, утвержденным постановлением</w:t>
            </w:r>
            <w:r>
              <w:rPr>
                <w:rFonts w:ascii="Times New Roman" w:hAnsi="Times New Roman"/>
                <w:sz w:val="20"/>
              </w:rPr>
              <w:t xml:space="preserve"> Правительства Челябинской области от 29 января 2016 года №13-П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п.п.7 п. 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</w:t>
            </w:r>
          </w:p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«Экономическое развитие и формирование инвестиционной привлекательности города </w:t>
            </w:r>
            <w:r>
              <w:rPr>
                <w:sz w:val="20"/>
              </w:rPr>
              <w:lastRenderedPageBreak/>
              <w:t>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Оказание содействия развитию сферы малого </w:t>
            </w:r>
            <w:r>
              <w:rPr>
                <w:sz w:val="20"/>
              </w:rPr>
              <w:t>и среднего предпринимательства города Магнитогорска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экономики и инвестиций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 xml:space="preserve">льгота по земельному налогу в отношении земельных участков, относящихся к землям населенных пунктов и расположенных в границах территориальной зоны Р-4 «Зона </w:t>
            </w:r>
            <w:r>
              <w:rPr>
                <w:sz w:val="20"/>
              </w:rPr>
              <w:t>рекреационного назначения с объектами отдыха и социальной инфраструктуры» организациям, реализующим инвестиционные проекты по созданию новых объектов</w:t>
            </w:r>
          </w:p>
          <w:p w:rsidR="00F16504" w:rsidRDefault="00F16504">
            <w:pPr>
              <w:pStyle w:val="ConsPlusNormal1"/>
              <w:rPr>
                <w:sz w:val="20"/>
              </w:rPr>
            </w:pPr>
          </w:p>
          <w:p w:rsidR="00F16504" w:rsidRDefault="00F16504">
            <w:pPr>
              <w:pStyle w:val="ConsPlusNormal1"/>
              <w:rPr>
                <w:sz w:val="20"/>
              </w:rPr>
            </w:pPr>
          </w:p>
          <w:p w:rsidR="00F16504" w:rsidRDefault="00F16504">
            <w:pPr>
              <w:pStyle w:val="ConsPlusNormal1"/>
              <w:rPr>
                <w:sz w:val="20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земельного налога освобождаются в полном объеме сроком на 5, 10 или 15 налоговых периодов орг</w:t>
            </w:r>
            <w:r>
              <w:rPr>
                <w:rFonts w:ascii="Times New Roman" w:hAnsi="Times New Roman"/>
                <w:sz w:val="20"/>
              </w:rPr>
              <w:t>анизации, реализующие на территории города инвестиционные проекты по созданию новых объектов строительства (кроме жилой застройки), инфраструктуры, благоустройства, предусматривающие осуществление капитальных вложений в объеме не менее 250 миллионов рублей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п.п.8 п.3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Стратегия социально - экономического развития города Магнитогорска на период до 2035 года, пункт 1.46 Плана мероприятий по реализации II этапа Стратегии социально-экономического развития города Магнитогорска до 2035 года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Повышение качества жиз</w:t>
            </w:r>
            <w:r>
              <w:rPr>
                <w:sz w:val="20"/>
              </w:rPr>
              <w:t>ни, инновационное развитие социальной сферы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экономики и инвестиций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 земельному налогу организациям и индивидуальным предпринимателям, осуществляющим деятельность в области спорта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 уплаты земельного налога освобождаются в полном объеме организации и индивидуальные предприниматели, осуществляющие основной (дополнительный) вид экономической деятельности в области спорта (ОКВЭД </w:t>
            </w:r>
            <w:hyperlink r:id="rId4" w:history="1">
              <w:r>
                <w:rPr>
                  <w:rFonts w:ascii="Times New Roman" w:hAnsi="Times New Roman"/>
                  <w:sz w:val="20"/>
                </w:rPr>
                <w:t>93.11</w:t>
              </w:r>
            </w:hyperlink>
            <w:r>
              <w:rPr>
                <w:rFonts w:ascii="Times New Roman" w:hAnsi="Times New Roman"/>
                <w:sz w:val="20"/>
              </w:rPr>
              <w:t>), в отношении земельных участков с видом разрешенного использования "Размещение зданий и сооружений для занятия спортом", занятых объектами спорта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п.п.9 п.3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6504" w:rsidRDefault="000C3B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муниципальная программа «Развитие физической культуры и спорта </w:t>
            </w:r>
            <w:r>
              <w:rPr>
                <w:rFonts w:ascii="Times New Roman" w:hAnsi="Times New Roman"/>
                <w:sz w:val="20"/>
              </w:rPr>
              <w:t>в городе Магнитогорске» на 2025-2030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Создание условий, обеспечивающих равные возможности населению города вести здоровый образ жизни, систематически заниматься физической культурой и спортом;</w:t>
            </w:r>
          </w:p>
          <w:p w:rsidR="00F16504" w:rsidRDefault="000C3BF5">
            <w:pPr>
              <w:spacing w:after="0" w:line="240" w:lineRule="auto"/>
              <w:ind w:left="150" w:right="150" w:hanging="15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повышение конкурентоспособности магнитогорских спортсменов </w:t>
            </w:r>
            <w:r>
              <w:rPr>
                <w:rFonts w:ascii="Times New Roman" w:hAnsi="Times New Roman"/>
                <w:sz w:val="20"/>
              </w:rPr>
              <w:t>на всероссийской и международных аренах;</w:t>
            </w:r>
          </w:p>
          <w:p w:rsidR="00F16504" w:rsidRDefault="000C3BF5">
            <w:pPr>
              <w:spacing w:after="0" w:line="240" w:lineRule="auto"/>
              <w:jc w:val="center"/>
            </w:pPr>
            <w:bookmarkStart w:id="2" w:name="__DdeLink__855_459951367"/>
            <w:r>
              <w:rPr>
                <w:rFonts w:ascii="Times New Roman" w:hAnsi="Times New Roman"/>
                <w:sz w:val="20"/>
              </w:rPr>
              <w:t>повышение уровня обеспеченности населения города объектами спорта</w:t>
            </w:r>
            <w:bookmarkEnd w:id="2"/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</w:t>
            </w:r>
          </w:p>
          <w:p w:rsidR="00F16504" w:rsidRDefault="000C3B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 физической культуре</w:t>
            </w:r>
          </w:p>
          <w:p w:rsidR="00F16504" w:rsidRDefault="000C3BF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 спорту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9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 земельному налогу малым технологическим компаниям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земельного налога освобождаются в</w:t>
            </w:r>
            <w:r>
              <w:rPr>
                <w:rFonts w:ascii="Times New Roman" w:hAnsi="Times New Roman"/>
                <w:sz w:val="20"/>
              </w:rPr>
              <w:t xml:space="preserve"> полном объеме малые технологические компании, включенные в реестр в соответствии с Федеральным законом от 04.08.2023 № 478-ФЗ «О развитии технологических компаний в Российской Федерации»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10 п. 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Стратегия социально - экономического развития города </w:t>
            </w:r>
            <w:r>
              <w:rPr>
                <w:sz w:val="20"/>
              </w:rPr>
              <w:t>Магнитогорска на период до 2035 года,</w:t>
            </w:r>
          </w:p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пункт 1.46 Плана мероприятий по реализации II этапа Стратегии социально-экономического </w:t>
            </w:r>
            <w:r>
              <w:rPr>
                <w:sz w:val="20"/>
              </w:rPr>
              <w:lastRenderedPageBreak/>
              <w:t>развития города Магнитогорска до 2035 года</w:t>
            </w:r>
          </w:p>
          <w:p w:rsidR="00F16504" w:rsidRDefault="00F16504">
            <w:pPr>
              <w:pStyle w:val="ConsPlusNormal1"/>
              <w:jc w:val="center"/>
              <w:rPr>
                <w:sz w:val="20"/>
              </w:rPr>
            </w:pPr>
          </w:p>
          <w:p w:rsidR="00F16504" w:rsidRDefault="00F16504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Развитие отраслей экономики как постоянного места работы жителей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Управление экономики </w:t>
            </w:r>
            <w:r>
              <w:rPr>
                <w:sz w:val="20"/>
              </w:rPr>
              <w:t>и инвестиций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пониженная ставка налога на имущество физических лиц по отдельным видам объектов имущества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налоговая ставка устанавливается в размере 1,5 процента для объектов налогообложения, включенных в перечень, определяемый в соответствии с п. 7 </w:t>
            </w:r>
            <w:r>
              <w:rPr>
                <w:rFonts w:ascii="Times New Roman" w:hAnsi="Times New Roman"/>
                <w:sz w:val="20"/>
              </w:rPr>
              <w:t>статьи 378.2 НК РФ, а также для объектов налогообложения предусмотренных абзацем вторым п. 10 статьи 378.2 НК РФ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Решение МГСД от 24 ноября 2015 г. № 187</w:t>
            </w:r>
          </w:p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«О введении налога на имущество физических лиц в городе Магнитогорске»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п.п</w:t>
            </w:r>
            <w:proofErr w:type="spellEnd"/>
            <w:r>
              <w:rPr>
                <w:sz w:val="20"/>
              </w:rPr>
              <w:t>. 6, 7 п.3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</w:t>
            </w:r>
            <w:r>
              <w:rPr>
                <w:sz w:val="20"/>
              </w:rPr>
              <w:t>рамма</w:t>
            </w:r>
          </w:p>
          <w:p w:rsidR="00F16504" w:rsidRDefault="000C3BF5">
            <w:pPr>
              <w:pStyle w:val="ConsPlusNormal1"/>
              <w:jc w:val="center"/>
              <w:rPr>
                <w:color w:val="FF0000"/>
                <w:sz w:val="20"/>
              </w:rPr>
            </w:pPr>
            <w:r>
              <w:rPr>
                <w:sz w:val="20"/>
              </w:rPr>
              <w:t>«Экономическое развитие и формирование инвестиционной привлекательности города 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Оказание содействия развитию сферы малого и среднего предпринимательства города Магнитогорска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экономики и инвестиций</w:t>
            </w:r>
          </w:p>
        </w:tc>
      </w:tr>
      <w:tr w:rsidR="00F16504" w:rsidTr="000C3BF5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ind w:right="72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rPr>
                <w:sz w:val="20"/>
              </w:rPr>
            </w:pPr>
            <w:r>
              <w:rPr>
                <w:sz w:val="20"/>
              </w:rPr>
              <w:t>льгота по налогу на имущество физических лиц льготной категории граждан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 уплаты налога на имущество физических лиц в отношении одного объекта налогообложения каждого вида расположенного в пределах города Магнитогорска освобождаются в полном объеме следую</w:t>
            </w:r>
            <w:r>
              <w:rPr>
                <w:rFonts w:ascii="Times New Roman" w:hAnsi="Times New Roman"/>
                <w:sz w:val="20"/>
              </w:rPr>
              <w:t>щие дополнительные категории налогоплательщиков:</w:t>
            </w:r>
          </w:p>
          <w:p w:rsidR="00F16504" w:rsidRDefault="000C3BF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1) </w:t>
            </w:r>
            <w:r>
              <w:rPr>
                <w:rFonts w:ascii="PT Serif" w:hAnsi="PT Serif"/>
                <w:color w:val="22272F"/>
                <w:sz w:val="23"/>
                <w:highlight w:val="white"/>
              </w:rPr>
              <w:t> </w:t>
            </w:r>
            <w:r>
              <w:rPr>
                <w:rFonts w:ascii="Times New Roman" w:hAnsi="Times New Roman"/>
                <w:sz w:val="20"/>
              </w:rPr>
              <w:t>члены семей, имеющие трех и более несовершеннолетних детей (детей в возрасте до 23 лет, обучающихся в образовательных организациях по очной форме обучения);</w:t>
            </w:r>
          </w:p>
          <w:p w:rsidR="00F16504" w:rsidRDefault="000C3BF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2) члены семьей, воспитывающих детей-инвалидов</w:t>
            </w:r>
            <w:r>
              <w:rPr>
                <w:rFonts w:ascii="Times New Roman" w:hAnsi="Times New Roman"/>
                <w:sz w:val="20"/>
              </w:rPr>
              <w:t>;</w:t>
            </w:r>
          </w:p>
          <w:p w:rsidR="00F16504" w:rsidRDefault="000C3BF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3) члены семей, потерявшие кормильца и воспитывающие несовершеннолетних детей;</w:t>
            </w:r>
          </w:p>
          <w:p w:rsidR="00F16504" w:rsidRDefault="000C3BF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4) одинокие родители (лица, их замещающие) с ребенком или детьми в возрасте до 18 лет;</w:t>
            </w:r>
          </w:p>
          <w:p w:rsidR="00F16504" w:rsidRDefault="000C3BF5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5) несовершеннолетние дети, родители, опекуны и попечители которых пользуются льготами п</w:t>
            </w:r>
            <w:r>
              <w:rPr>
                <w:rFonts w:ascii="Times New Roman" w:hAnsi="Times New Roman"/>
                <w:sz w:val="20"/>
              </w:rPr>
              <w:t>о налогу на имущество физических лиц;</w:t>
            </w:r>
          </w:p>
          <w:p w:rsidR="00F16504" w:rsidRDefault="000C3BF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6) инвалиды III группы, имеющие на иждивении престарелых родителей (в возрасте: отцы - 60 лет и старше, матери - 55 лет и старше) или несовершеннолетних детей.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F16504"/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п.5</w:t>
            </w:r>
          </w:p>
          <w:p w:rsidR="00F16504" w:rsidRDefault="00F16504">
            <w:pPr>
              <w:pStyle w:val="ConsPlusNormal1"/>
              <w:jc w:val="center"/>
              <w:rPr>
                <w:sz w:val="20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«Социальное обслуживание и </w:t>
            </w:r>
            <w:r>
              <w:rPr>
                <w:sz w:val="20"/>
              </w:rPr>
              <w:t>социальная поддержка жителей города Магнитогорска» на 2025 – 2030 годы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Создание условий для роста благосостояния граждан – получателей мер социальной поддержки, повышение доступности социального обслуживания населения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504" w:rsidRDefault="000C3BF5">
            <w:pPr>
              <w:pStyle w:val="ConsPlusNormal1"/>
              <w:jc w:val="center"/>
              <w:rPr>
                <w:sz w:val="20"/>
              </w:rPr>
            </w:pPr>
            <w:r>
              <w:rPr>
                <w:sz w:val="20"/>
              </w:rPr>
              <w:t>Управление социальной защиты населения</w:t>
            </w:r>
          </w:p>
        </w:tc>
      </w:tr>
    </w:tbl>
    <w:p w:rsidR="00F16504" w:rsidRDefault="00F16504">
      <w:pPr>
        <w:rPr>
          <w:sz w:val="16"/>
        </w:rPr>
      </w:pPr>
    </w:p>
    <w:sectPr w:rsidR="00F16504">
      <w:pgSz w:w="16838" w:h="11906" w:orient="landscape"/>
      <w:pgMar w:top="709" w:right="567" w:bottom="284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PT Astra Serif">
    <w:panose1 w:val="020A0603040505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504"/>
    <w:rsid w:val="000C3BF5"/>
    <w:rsid w:val="00F1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0F83"/>
  <w15:docId w15:val="{E7FD8051-620F-46E7-A139-9022E13B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10">
    <w:name w:val="Обычный11"/>
    <w:link w:val="111"/>
    <w:pPr>
      <w:spacing w:after="160" w:line="264" w:lineRule="auto"/>
    </w:pPr>
  </w:style>
  <w:style w:type="character" w:customStyle="1" w:styleId="111">
    <w:name w:val="Обычный11"/>
    <w:link w:val="110"/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otnote1">
    <w:name w:val="Footnote1"/>
    <w:link w:val="Foot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</w:rPr>
  </w:style>
  <w:style w:type="paragraph" w:customStyle="1" w:styleId="Endnote1">
    <w:name w:val="Endnote1"/>
    <w:link w:val="Endnote10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Heading11">
    <w:name w:val="Heading 11"/>
    <w:link w:val="Heading110"/>
    <w:rPr>
      <w:rFonts w:ascii="XO Thames" w:hAnsi="XO Thames"/>
      <w:b/>
      <w:sz w:val="32"/>
    </w:rPr>
  </w:style>
  <w:style w:type="character" w:customStyle="1" w:styleId="Heading110">
    <w:name w:val="Heading 11"/>
    <w:link w:val="Heading11"/>
    <w:rPr>
      <w:rFonts w:ascii="XO Thames" w:hAnsi="XO Thames"/>
      <w:b/>
      <w:sz w:val="32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12">
    <w:name w:val="Гиперссылка11"/>
    <w:link w:val="113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113">
    <w:name w:val="Гиперссылка11"/>
    <w:link w:val="112"/>
    <w:rPr>
      <w:rFonts w:ascii="Calibri" w:hAnsi="Calibri"/>
      <w:color w:val="0000FF"/>
      <w:u w:val="single"/>
    </w:rPr>
  </w:style>
  <w:style w:type="paragraph" w:customStyle="1" w:styleId="HeaderandFooter1">
    <w:name w:val="Header and Footer1"/>
    <w:link w:val="HeaderandFooter10"/>
    <w:pPr>
      <w:spacing w:after="160"/>
      <w:jc w:val="both"/>
    </w:pPr>
    <w:rPr>
      <w:rFonts w:ascii="XO Thames" w:hAnsi="XO Thames"/>
      <w:sz w:val="20"/>
    </w:rPr>
  </w:style>
  <w:style w:type="character" w:customStyle="1" w:styleId="HeaderandFooter10">
    <w:name w:val="Header and Footer1"/>
    <w:link w:val="HeaderandFooter1"/>
    <w:rPr>
      <w:rFonts w:ascii="XO Thames" w:hAnsi="XO Thames"/>
      <w:sz w:val="20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ConsPlusNormal1">
    <w:name w:val="ConsPlusNormal1"/>
    <w:link w:val="ConsPlusNormal10"/>
    <w:rPr>
      <w:rFonts w:ascii="Times New Roman" w:hAnsi="Times New Roman"/>
      <w:sz w:val="28"/>
    </w:rPr>
  </w:style>
  <w:style w:type="character" w:customStyle="1" w:styleId="ConsPlusNormal10">
    <w:name w:val="ConsPlusNormal1"/>
    <w:link w:val="ConsPlusNormal1"/>
    <w:rPr>
      <w:rFonts w:ascii="Times New Roman" w:hAnsi="Times New Roman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a3">
    <w:name w:val="List"/>
    <w:basedOn w:val="a4"/>
    <w:link w:val="a5"/>
    <w:rPr>
      <w:rFonts w:ascii="PT Astra Serif" w:hAnsi="PT Astra Serif"/>
    </w:rPr>
  </w:style>
  <w:style w:type="character" w:customStyle="1" w:styleId="a5">
    <w:name w:val="Список Знак"/>
    <w:basedOn w:val="a6"/>
    <w:link w:val="a3"/>
    <w:rPr>
      <w:rFonts w:ascii="PT Astra Serif" w:hAnsi="PT Astra Serif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a7">
    <w:name w:val="Содержимое таблицы"/>
    <w:basedOn w:val="a"/>
    <w:link w:val="a8"/>
    <w:pPr>
      <w:widowControl w:val="0"/>
    </w:pPr>
  </w:style>
  <w:style w:type="character" w:customStyle="1" w:styleId="a8">
    <w:name w:val="Содержимое таблицы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styleId="14">
    <w:name w:val="toc 1"/>
    <w:next w:val="a"/>
    <w:link w:val="15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efaultParagraphFont1">
    <w:name w:val="Default Paragraph Font1"/>
    <w:link w:val="DefaultParagraphFont10"/>
    <w:pPr>
      <w:spacing w:after="160" w:line="264" w:lineRule="auto"/>
    </w:pPr>
  </w:style>
  <w:style w:type="character" w:customStyle="1" w:styleId="DefaultParagraphFont10">
    <w:name w:val="Default Paragraph Font1"/>
    <w:link w:val="DefaultParagraphFont1"/>
  </w:style>
  <w:style w:type="paragraph" w:styleId="aa">
    <w:name w:val="index heading"/>
    <w:basedOn w:val="a"/>
    <w:link w:val="ab"/>
    <w:rPr>
      <w:rFonts w:ascii="PT Astra Serif" w:hAnsi="PT Astra Serif"/>
    </w:rPr>
  </w:style>
  <w:style w:type="character" w:customStyle="1" w:styleId="ab">
    <w:name w:val="Указатель Знак"/>
    <w:basedOn w:val="1"/>
    <w:link w:val="aa"/>
    <w:rPr>
      <w:rFonts w:ascii="PT Astra Serif" w:hAnsi="PT Astra Serif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Body Text"/>
    <w:basedOn w:val="a"/>
    <w:link w:val="a6"/>
    <w:pPr>
      <w:spacing w:after="140"/>
    </w:pPr>
  </w:style>
  <w:style w:type="character" w:customStyle="1" w:styleId="a6">
    <w:name w:val="Основной текст Знак"/>
    <w:basedOn w:val="1"/>
    <w:link w:val="a4"/>
  </w:style>
  <w:style w:type="paragraph" w:customStyle="1" w:styleId="BalloonText1">
    <w:name w:val="Balloon Text1"/>
    <w:basedOn w:val="a"/>
    <w:link w:val="BalloonText10"/>
    <w:pPr>
      <w:spacing w:after="0" w:line="240" w:lineRule="auto"/>
    </w:pPr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sz w:val="1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114">
    <w:name w:val="Основной шрифт абзаца11"/>
    <w:link w:val="115"/>
    <w:pPr>
      <w:spacing w:after="160" w:line="264" w:lineRule="auto"/>
    </w:pPr>
  </w:style>
  <w:style w:type="character" w:customStyle="1" w:styleId="115">
    <w:name w:val="Основной шрифт абзаца11"/>
    <w:link w:val="114"/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nternetlink">
    <w:name w:val="Internet link"/>
    <w:link w:val="Internetlink0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u w:val="single"/>
    </w:rPr>
  </w:style>
  <w:style w:type="paragraph" w:customStyle="1" w:styleId="ac">
    <w:name w:val="Заголовок таблицы"/>
    <w:basedOn w:val="a7"/>
    <w:link w:val="ad"/>
    <w:pPr>
      <w:widowControl/>
      <w:jc w:val="center"/>
    </w:pPr>
    <w:rPr>
      <w:b/>
    </w:rPr>
  </w:style>
  <w:style w:type="character" w:customStyle="1" w:styleId="ad">
    <w:name w:val="Заголовок таблицы"/>
    <w:basedOn w:val="a8"/>
    <w:link w:val="ac"/>
    <w:rPr>
      <w:b/>
    </w:rPr>
  </w:style>
  <w:style w:type="paragraph" w:styleId="ae">
    <w:name w:val="caption"/>
    <w:basedOn w:val="a"/>
    <w:link w:val="af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">
    <w:name w:val="Название объекта Знак"/>
    <w:basedOn w:val="1"/>
    <w:link w:val="ae"/>
    <w:rPr>
      <w:rFonts w:ascii="PT Astra Serif" w:hAnsi="PT Astra Serif"/>
      <w:i/>
      <w:sz w:val="24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af2">
    <w:name w:val="Title"/>
    <w:next w:val="a4"/>
    <w:link w:val="af3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rsid w:val="000C3BF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6195&amp;dst=105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1633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Николаевна Шарафмаль</cp:lastModifiedBy>
  <cp:revision>2</cp:revision>
  <dcterms:created xsi:type="dcterms:W3CDTF">2026-10-01T04:47:00Z</dcterms:created>
  <dcterms:modified xsi:type="dcterms:W3CDTF">2026-10-05T10:19:00Z</dcterms:modified>
</cp:coreProperties>
</file>