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12" w:rsidRDefault="00686F59">
      <w:pPr>
        <w:pStyle w:val="ConsPlusNormal"/>
        <w:jc w:val="center"/>
        <w:rPr>
          <w:sz w:val="24"/>
        </w:rPr>
      </w:pPr>
      <w:bookmarkStart w:id="0" w:name="P149"/>
      <w:bookmarkEnd w:id="0"/>
      <w:r>
        <w:rPr>
          <w:sz w:val="24"/>
        </w:rPr>
        <w:t>ПЕРЕЧЕНЬ</w:t>
      </w:r>
    </w:p>
    <w:p w:rsidR="009A7812" w:rsidRDefault="00686F59">
      <w:pPr>
        <w:pStyle w:val="ConsPlusNormal"/>
        <w:jc w:val="center"/>
        <w:rPr>
          <w:sz w:val="24"/>
        </w:rPr>
      </w:pPr>
      <w:r>
        <w:rPr>
          <w:sz w:val="24"/>
        </w:rPr>
        <w:t>налоговых расходов города Магнитогорска на 2026 год</w:t>
      </w:r>
      <w:r w:rsidR="002546F5">
        <w:rPr>
          <w:sz w:val="24"/>
        </w:rPr>
        <w:t xml:space="preserve"> и плановый период 2027 и 2028 годов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902"/>
        <w:gridCol w:w="4359"/>
        <w:gridCol w:w="1836"/>
        <w:gridCol w:w="1836"/>
        <w:gridCol w:w="2006"/>
        <w:gridCol w:w="2084"/>
        <w:gridCol w:w="1580"/>
      </w:tblGrid>
      <w:tr w:rsidR="009A7812">
        <w:trPr>
          <w:tblHeader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Краткое наименование налогового расхода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Полное наименование налогового расхода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Реквизиты нормативного правового акта, устанавливающего налоговый расход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Структурная единица нормативного </w:t>
            </w:r>
            <w:r>
              <w:rPr>
                <w:sz w:val="20"/>
              </w:rPr>
              <w:t>правового акта, устанавливающего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налоговый расход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муниципальной программы и (или) целей социально - экономической политики города, не относящихся к муниципальным программам, в целях реализации которых установлены налоговые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расходы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Цели муницип</w:t>
            </w:r>
            <w:r>
              <w:rPr>
                <w:sz w:val="20"/>
              </w:rPr>
              <w:t>альной программы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 (или) цели социально-экономической политики города, не относящиеся к муниципальным программам, в целях реализации которых установлены налоговые расходы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Куратор налогового расхода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9A7812">
        <w:trPr>
          <w:trHeight w:val="104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</w:t>
            </w:r>
          </w:p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земельному налогу органам</w:t>
            </w:r>
            <w:r>
              <w:rPr>
                <w:sz w:val="20"/>
              </w:rPr>
              <w:t xml:space="preserve"> местного самоуправления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освобождаются в полном объеме органы местного самоуправления в отношении земельных участков, предоставленных для обеспечения их деятельности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Решение МГСД от 28.04.2010 № 73 «Об утверждении Положения о </w:t>
            </w:r>
            <w:r>
              <w:rPr>
                <w:sz w:val="20"/>
              </w:rPr>
              <w:t>земельном налоге на территории города Магнитогорска» (далее – Решение)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1 п.3</w:t>
            </w: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техническая целевая категория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бухгалтерского учета и отчетности 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администрации города Магнитогорска </w:t>
            </w:r>
          </w:p>
          <w:p w:rsidR="009A7812" w:rsidRDefault="009A781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</w:t>
            </w:r>
          </w:p>
          <w:p w:rsidR="009A7812" w:rsidRDefault="00686F59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 xml:space="preserve">земельному налогу организациям, осуществляющим </w:t>
            </w:r>
            <w:r>
              <w:rPr>
                <w:sz w:val="20"/>
              </w:rPr>
              <w:t>деятельность с использованием социально значимых объектов городской инфраструктуры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освобождаются в полном объеме организации в отношении земельных участков, используемых в целях обеспечения их деятельности, занятых объектами инж</w:t>
            </w:r>
            <w:r>
              <w:rPr>
                <w:rFonts w:ascii="Times New Roman" w:hAnsi="Times New Roman"/>
                <w:sz w:val="20"/>
              </w:rPr>
              <w:t>енерной инфраструктуры (электро-, тепло-, водоснабжение, водоотведение, очистка сточных вод), контейнерными площадками для бытовых отходов, объектами для утилизации (захоронения) твердых бытовых отходов, трамвайными путями, закрепленными за ними собственни</w:t>
            </w:r>
            <w:r>
              <w:rPr>
                <w:rFonts w:ascii="Times New Roman" w:hAnsi="Times New Roman"/>
                <w:sz w:val="20"/>
              </w:rPr>
              <w:t>ком на праве хозяйственного ведения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2 п.3</w:t>
            </w:r>
          </w:p>
        </w:tc>
        <w:tc>
          <w:tcPr>
            <w:tcW w:w="4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техническая целевая категория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транспорта и коммунального хозяйства</w:t>
            </w:r>
          </w:p>
        </w:tc>
      </w:tr>
      <w:tr w:rsidR="009A7812">
        <w:trPr>
          <w:trHeight w:val="28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</w:t>
            </w:r>
          </w:p>
          <w:p w:rsidR="009A7812" w:rsidRDefault="00686F59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земельному налогу садоводческим, огородническим некоммерческим объединениям граждан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освобождаются в полном объеме садоводческие, огороднические некоммерческие объединения граждан в отношении земель общего пользования данных объединений (лесозащитных полос, проездов и других земель, не занятых индивидуальными са</w:t>
            </w:r>
            <w:r>
              <w:rPr>
                <w:rFonts w:ascii="Times New Roman" w:hAnsi="Times New Roman"/>
                <w:sz w:val="20"/>
              </w:rPr>
              <w:t xml:space="preserve">довыми, огородническими участками), а также в отношении земельных участков, используемых для садоводства, огородничества лицами, указанными в </w:t>
            </w:r>
            <w:proofErr w:type="spellStart"/>
            <w:r>
              <w:rPr>
                <w:rFonts w:ascii="Times New Roman" w:hAnsi="Times New Roman"/>
                <w:sz w:val="20"/>
              </w:rPr>
              <w:t>п.п</w:t>
            </w:r>
            <w:proofErr w:type="spellEnd"/>
            <w:r>
              <w:rPr>
                <w:rFonts w:ascii="Times New Roman" w:hAnsi="Times New Roman"/>
                <w:sz w:val="20"/>
              </w:rPr>
              <w:t>. 4 п.3 Решения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3 п.3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муниципальная программа «Поддержка садоводческих некоммерческих товариществ, распол</w:t>
            </w:r>
            <w:r>
              <w:rPr>
                <w:sz w:val="20"/>
              </w:rPr>
              <w:t>оженных на территории города Магнитогорска» на 2025 – 2030 годы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Оказание поддержки садоводческим некоммерческим товариществам, расположенным на территории города Магнитогорска, в рамках полномочий органов местного самоуправления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Отдел бухгалтерского </w:t>
            </w:r>
            <w:r>
              <w:rPr>
                <w:sz w:val="20"/>
              </w:rPr>
              <w:t xml:space="preserve">учета и отчетности 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администрации города Магнитогорска </w:t>
            </w:r>
          </w:p>
          <w:p w:rsidR="009A7812" w:rsidRDefault="009A7812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9A7812">
        <w:trPr>
          <w:trHeight w:val="197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</w:t>
            </w:r>
          </w:p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земельному налогу льготным категориям граждан в отношении земельных участков определённых видов разрешённого использования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в отношении одного объекта каждого</w:t>
            </w:r>
            <w:r>
              <w:rPr>
                <w:rFonts w:ascii="Times New Roman" w:hAnsi="Times New Roman"/>
                <w:sz w:val="20"/>
              </w:rPr>
              <w:t xml:space="preserve"> вида земельных участков (части земельных участков), занятых индивидуальным жилищным фондом или предоставленных (приобретенных) для индивидуального жилищного строительства, площадь которых не превышает 1500 м2, а также в отношении земельных участков, предо</w:t>
            </w:r>
            <w:r>
              <w:rPr>
                <w:rFonts w:ascii="Times New Roman" w:hAnsi="Times New Roman"/>
                <w:sz w:val="20"/>
              </w:rPr>
              <w:t>ставленных (приобретенных) для личного подсобного хозяйства, садоводства, огородничества или занятых индивидуальными и кооперативными гаражами, погребами освобождаются категории граждан указанные п. 5статьи 391 НК РФ и дополнительные категории налогоплател</w:t>
            </w:r>
            <w:r>
              <w:rPr>
                <w:rFonts w:ascii="Times New Roman" w:hAnsi="Times New Roman"/>
                <w:sz w:val="20"/>
              </w:rPr>
              <w:t>ьщиков: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инвалиды III группы;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члены многодетных семей с тремя и более детьми в возрасте до 18 лет;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члены семей, воспитывающих детей-инвалидов;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 члены семей, потерявших кормильца и воспитывающих несовершеннолетних детей;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одинокие родители (лица, их </w:t>
            </w:r>
            <w:r>
              <w:rPr>
                <w:rFonts w:ascii="Times New Roman" w:hAnsi="Times New Roman"/>
                <w:sz w:val="20"/>
              </w:rPr>
              <w:t>замещающие) с ребенком или детьми в возрасте до 18 лет;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несовершеннолетние дети, родители, опекуны и попечители которых пользуются льготами по налогу на имущество физических лиц;</w:t>
            </w:r>
          </w:p>
          <w:p w:rsidR="009A7812" w:rsidRDefault="00686F5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граждане, выполнявшие интернациональный долг в Республике Афганистан;</w:t>
            </w:r>
          </w:p>
          <w:p w:rsidR="009A7812" w:rsidRDefault="00686F59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г</w:t>
            </w:r>
            <w:r>
              <w:rPr>
                <w:rFonts w:ascii="Times New Roman" w:hAnsi="Times New Roman"/>
                <w:sz w:val="20"/>
              </w:rPr>
              <w:t>раждане, принимавшие участие в боевых действиях на территории Чеченской республики.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4 п.3</w:t>
            </w:r>
          </w:p>
          <w:p w:rsidR="009A7812" w:rsidRDefault="009A7812">
            <w:pPr>
              <w:pStyle w:val="ConsPlusNormal"/>
              <w:rPr>
                <w:sz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муниципальная программа «Социальное обслуживание и социальная поддержка жителей города Магнитогорска» на 2025 – 2030 годы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 для роста благ</w:t>
            </w:r>
            <w:r>
              <w:rPr>
                <w:sz w:val="20"/>
              </w:rPr>
              <w:t>осостояния граждан – получателей мер социальной поддержки, повышение доступности социального обслуживания населения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социальной защиты населения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</w:t>
            </w:r>
          </w:p>
          <w:p w:rsidR="009A7812" w:rsidRDefault="00686F59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земельному налогу гаражным кооперативам, погребам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освобождаются гаражные кооперативы, погреба в отношении земель общего пользования данных организаций (лесозащитных полос, проездов и других земель, не занятых индивидуальными и кооперативными гаражами, погребами) пропорционально</w:t>
            </w:r>
            <w:r>
              <w:rPr>
                <w:rFonts w:ascii="Times New Roman" w:hAnsi="Times New Roman"/>
                <w:sz w:val="20"/>
              </w:rPr>
              <w:t xml:space="preserve"> числу их членов, являющихся пенсионерами, а также в отношении земельных участков, занятых гаражами, погребами, принадлежащих лицам, указанным в </w:t>
            </w:r>
            <w:proofErr w:type="spellStart"/>
            <w:r>
              <w:rPr>
                <w:rFonts w:ascii="Times New Roman" w:hAnsi="Times New Roman"/>
                <w:sz w:val="20"/>
              </w:rPr>
              <w:t>п.п</w:t>
            </w:r>
            <w:proofErr w:type="spellEnd"/>
            <w:r>
              <w:rPr>
                <w:rFonts w:ascii="Times New Roman" w:hAnsi="Times New Roman"/>
                <w:sz w:val="20"/>
              </w:rPr>
              <w:t>. 4 п.3 Решения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п.п.5 п. 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муниципальная программа «Социальное обслуживание и социальная поддержка жителей </w:t>
            </w:r>
            <w:r>
              <w:rPr>
                <w:sz w:val="20"/>
              </w:rPr>
              <w:t>города Магнитогорска» на 2025 – 2030 годы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Создание условий для роста благосостояния граждан – получателей мер социальной поддержки, повышение доступности социального обслуживания населения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социальной защиты населения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</w:t>
            </w:r>
          </w:p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земельному налогу управляющим компаниям индустриальных (промышленных) парков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освобождаются в полном объеме на период до 2029 года управляющие компании индустриальных (промышленных) парков, включенные в реестр индустриальных (про</w:t>
            </w:r>
            <w:r>
              <w:rPr>
                <w:rFonts w:ascii="Times New Roman" w:hAnsi="Times New Roman"/>
                <w:sz w:val="20"/>
              </w:rPr>
              <w:t xml:space="preserve">мышленных) парков, управляющих компаний индустриальных </w:t>
            </w:r>
            <w:r>
              <w:rPr>
                <w:rFonts w:ascii="Times New Roman" w:hAnsi="Times New Roman"/>
                <w:sz w:val="20"/>
              </w:rPr>
              <w:lastRenderedPageBreak/>
              <w:t>(промышленных) парков в Челябинской области в соответствии с Порядком ведения реестра индустриальных (промышленных) парков, управляющих компаний индустриальных (промышленных) парков в Челябинской облас</w:t>
            </w:r>
            <w:r>
              <w:rPr>
                <w:rFonts w:ascii="Times New Roman" w:hAnsi="Times New Roman"/>
                <w:sz w:val="20"/>
              </w:rPr>
              <w:t>ти, утвержденным постановлением Правительства Челябинской области от 29 января 2016 года №13-П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п.п.7 п. 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муниципальная программа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«Экономическое развитие и формирование инвестиционной привлекательности </w:t>
            </w:r>
            <w:r>
              <w:rPr>
                <w:sz w:val="20"/>
              </w:rPr>
              <w:lastRenderedPageBreak/>
              <w:t>города Магнитогорска» на 2025 – 2030 годы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Оказание содействия развитию сферы малого и среднего предпринимательства города Магнитогорска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экономики и инвестиций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льгота по земельному налогу в отношении земельных участков, относящихся к землям населенных пунктов и расположенных в границах территориальной зоны Р-4 «Зона рекреационного назначения с объектами отдыха и социальной инфраструктуры» организациям, реализующи</w:t>
            </w:r>
            <w:r>
              <w:rPr>
                <w:sz w:val="20"/>
              </w:rPr>
              <w:t>м инвестиционные проекты по созданию новых объектов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земельного налога освобождаются в полном объеме сроком на 5, 10 или 15 налоговых периодов организации, реализующие на территории города инвестиционные проекты по созданию новых объектов строител</w:t>
            </w:r>
            <w:r>
              <w:rPr>
                <w:rFonts w:ascii="Times New Roman" w:hAnsi="Times New Roman"/>
                <w:sz w:val="20"/>
              </w:rPr>
              <w:t>ьства (кроме жилой застройки), инфраструктуры, благоустройства, предусматривающие осуществление капитальных вложений в объеме не менее 250 миллионов рублей.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п.п.8 п.3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Стратегия социально - экономического развития города Магнитогорска на период до 2035 </w:t>
            </w:r>
            <w:r>
              <w:rPr>
                <w:sz w:val="20"/>
              </w:rPr>
              <w:t>года, пункт 1.46 Плана мероприятий по реализации II этапа Стратегии социально-экономического развития города Магнитогорска до 2035 года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 w:rsidP="002546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>овышение качества жизни, инновацио</w:t>
            </w:r>
            <w:r w:rsidR="002546F5">
              <w:rPr>
                <w:sz w:val="20"/>
              </w:rPr>
              <w:t>нное развитие социальной сферы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</w:rPr>
              <w:t>правление экономики и инвестиций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льгота по земельному налогу организациям и индивидуальным предпринимателям, осуществляющим деятельность в области спорта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 уплаты земельного налога освобождаются в полном объеме организации и </w:t>
            </w:r>
            <w:r>
              <w:rPr>
                <w:rFonts w:ascii="Times New Roman" w:hAnsi="Times New Roman"/>
                <w:sz w:val="20"/>
              </w:rPr>
              <w:t>индивидуальные предприниматели, осуществляющие основной (дополнительный) вид экономической деятельности в области спорта (</w:t>
            </w:r>
            <w:r>
              <w:rPr>
                <w:rFonts w:ascii="Times New Roman" w:hAnsi="Times New Roman"/>
                <w:sz w:val="20"/>
              </w:rPr>
              <w:t xml:space="preserve">ОКВЭД </w:t>
            </w:r>
            <w:hyperlink r:id="rId4" w:history="1">
              <w:r>
                <w:rPr>
                  <w:rFonts w:ascii="Times New Roman" w:hAnsi="Times New Roman"/>
                  <w:sz w:val="20"/>
                </w:rPr>
                <w:t>93.11</w:t>
              </w:r>
            </w:hyperlink>
            <w:r>
              <w:rPr>
                <w:rFonts w:ascii="Times New Roman" w:hAnsi="Times New Roman"/>
                <w:sz w:val="20"/>
              </w:rPr>
              <w:t xml:space="preserve">), </w:t>
            </w:r>
            <w:r>
              <w:rPr>
                <w:rFonts w:ascii="Times New Roman" w:hAnsi="Times New Roman"/>
                <w:sz w:val="20"/>
              </w:rPr>
              <w:t>в отношении земельных участков с ви</w:t>
            </w:r>
            <w:r>
              <w:rPr>
                <w:rFonts w:ascii="Times New Roman" w:hAnsi="Times New Roman"/>
                <w:sz w:val="20"/>
              </w:rPr>
              <w:t>дом разрешенного использования "Размещение зданий и сооружений для занятия спортом", занятых объектами спорта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п.п.9 п.3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Стратегия социально - экономического развития города Магнитогорска на период до 2035 года,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пункт 1.46 Плана мероприятий по реализации I</w:t>
            </w:r>
            <w:r>
              <w:rPr>
                <w:sz w:val="20"/>
              </w:rPr>
              <w:t>I этапа Стратегии социально-экономического развития города Магнитогорска до 2035 года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 w:rsidP="002546F5">
            <w:pPr>
              <w:pStyle w:val="ConsPlus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П</w:t>
            </w:r>
            <w:r>
              <w:rPr>
                <w:sz w:val="20"/>
              </w:rPr>
              <w:t xml:space="preserve">овышение качества жизни, инновационное развитие социальной сферы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</w:rPr>
              <w:t>правление экономики и инвестиций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rStyle w:val="1"/>
                <w:rFonts w:ascii="Times New Roman" w:hAnsi="Times New Roman"/>
                <w:sz w:val="20"/>
              </w:rPr>
              <w:t>льгота по земельному налогу малым технологическим компаниям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Style w:val="1"/>
                <w:rFonts w:ascii="Times New Roman" w:hAnsi="Times New Roman"/>
                <w:sz w:val="20"/>
              </w:rPr>
              <w:t>от уплаты земельного налога освобождаются в полном объеме малые технологические компании, включенные в реестр в соответствии с Федеральным законом от 04.08.2023 № 478-ФЗ «О развитии технологически</w:t>
            </w:r>
            <w:r>
              <w:rPr>
                <w:rStyle w:val="1"/>
                <w:rFonts w:ascii="Times New Roman" w:hAnsi="Times New Roman"/>
                <w:sz w:val="20"/>
              </w:rPr>
              <w:t>х компаний в Российской Федерации»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10 п. 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Стратегия социально - экономического развития города Магнитогорска на период до 2035 года,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пункт 1.46 Плана мероприятий по реализации II</w:t>
            </w:r>
            <w:r>
              <w:rPr>
                <w:sz w:val="20"/>
              </w:rPr>
              <w:t xml:space="preserve"> этапа Стратегии социально-экономического развития города Магнитогорска до 2035 года</w:t>
            </w:r>
          </w:p>
          <w:p w:rsidR="00686F59" w:rsidRDefault="00686F59">
            <w:pPr>
              <w:pStyle w:val="ConsPlusNormal"/>
              <w:jc w:val="center"/>
              <w:rPr>
                <w:sz w:val="20"/>
              </w:rPr>
            </w:pPr>
          </w:p>
          <w:p w:rsidR="00686F59" w:rsidRDefault="00686F59">
            <w:pPr>
              <w:pStyle w:val="ConsPlusNormal"/>
              <w:jc w:val="center"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 w:rsidP="002546F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Развитие отраслей экономики как постоянного места работы жителей</w:t>
            </w:r>
            <w:r>
              <w:rPr>
                <w:sz w:val="20"/>
              </w:rPr>
              <w:t>)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z w:val="20"/>
              </w:rPr>
              <w:t>правление экономики и инвестиций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пониженная ставка налога на</w:t>
            </w:r>
            <w:r>
              <w:rPr>
                <w:sz w:val="20"/>
              </w:rPr>
              <w:t xml:space="preserve"> имущество физических лиц по отдельным видам объектов имущества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налоговая ставка устанавливается в размере 1,5 процента для объектов налогообложения, включенных в перечень, определяемый в соответствии с п. 7 статьи 378.2 НК РФ, а также для объектов налогоо</w:t>
            </w:r>
            <w:r>
              <w:rPr>
                <w:rFonts w:ascii="Times New Roman" w:hAnsi="Times New Roman"/>
                <w:sz w:val="20"/>
              </w:rPr>
              <w:t>бложения предусмотренных абзацем вторым п. 10 статьи 378.2 НК РФ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Решение МГСД от 24 ноября 2015 г. № 187</w:t>
            </w:r>
          </w:p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«О введении налога на имущество физических лиц в городе Магнитогорске»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п.п</w:t>
            </w:r>
            <w:proofErr w:type="spellEnd"/>
            <w:r>
              <w:rPr>
                <w:sz w:val="20"/>
              </w:rPr>
              <w:t>. 6, 7 п.3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муниципальная программа</w:t>
            </w:r>
          </w:p>
          <w:p w:rsidR="009A7812" w:rsidRDefault="00686F59">
            <w:pPr>
              <w:pStyle w:val="ConsPlusNormal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«Экономическое развитие и формирование </w:t>
            </w:r>
            <w:r>
              <w:rPr>
                <w:sz w:val="20"/>
              </w:rPr>
              <w:t>инвестиционной привлекательности города Магнитогорска» на 2025 – 2030 годы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Оказание содействия развитию сферы малого и среднего предпринимательства города Магнитогорска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экономики и инвестиций</w:t>
            </w:r>
          </w:p>
        </w:tc>
      </w:tr>
      <w:tr w:rsidR="009A7812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ind w:right="72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льгота по налогу на имущество физических </w:t>
            </w:r>
            <w:r>
              <w:rPr>
                <w:sz w:val="20"/>
              </w:rPr>
              <w:t>лиц льготной категории граждан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уплаты налога на имущество физических лиц в отношении одного объекта налогообложения каждого вида расположенного в пределах города Магнитогорска освобождаются в полном объеме следующие дополнительные категории налогоплател</w:t>
            </w:r>
            <w:r>
              <w:rPr>
                <w:rFonts w:ascii="Times New Roman" w:hAnsi="Times New Roman"/>
                <w:sz w:val="20"/>
              </w:rPr>
              <w:t>ьщиков:</w:t>
            </w:r>
          </w:p>
          <w:p w:rsidR="009A7812" w:rsidRDefault="00686F5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1) члены многодетных семей с тремя и более детьми в возрасте до 18 лет;</w:t>
            </w:r>
          </w:p>
          <w:p w:rsidR="009A7812" w:rsidRDefault="00686F5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2) члены семьей, воспитывающих детей-инвалидов;</w:t>
            </w:r>
          </w:p>
          <w:p w:rsidR="009A7812" w:rsidRDefault="00686F5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3) члены семей, потерявшие кормильца и воспитывающие несовершеннолетних детей;</w:t>
            </w:r>
          </w:p>
          <w:p w:rsidR="009A7812" w:rsidRDefault="00686F5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одинокие родители (лица, их замещающие) с </w:t>
            </w:r>
            <w:r>
              <w:rPr>
                <w:rFonts w:ascii="Times New Roman" w:hAnsi="Times New Roman"/>
                <w:sz w:val="20"/>
              </w:rPr>
              <w:t>ребенком или детьми в возрасте до 18 лет;</w:t>
            </w:r>
          </w:p>
          <w:p w:rsidR="009A7812" w:rsidRDefault="00686F59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5) несовершеннолетние дети, родители, опекуны и попечители которых пользуются льготами по налогу на имущество физических лиц;</w:t>
            </w:r>
          </w:p>
          <w:p w:rsidR="009A7812" w:rsidRDefault="00686F5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6) инвалиды III группы, имеющие на иждивении престарелых родителей (в возрасте: </w:t>
            </w:r>
            <w:r>
              <w:rPr>
                <w:rFonts w:ascii="Times New Roman" w:hAnsi="Times New Roman"/>
                <w:sz w:val="20"/>
              </w:rPr>
              <w:lastRenderedPageBreak/>
              <w:t>отцы - 6</w:t>
            </w:r>
            <w:r>
              <w:rPr>
                <w:rFonts w:ascii="Times New Roman" w:hAnsi="Times New Roman"/>
                <w:sz w:val="20"/>
              </w:rPr>
              <w:t>0 лет и старше, матери - 55 лет и старше) или несовершеннолетних детей.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9A7812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п.5</w:t>
            </w:r>
          </w:p>
          <w:p w:rsidR="009A7812" w:rsidRDefault="009A781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муниципальная программа «Социальное обслуживание и социальная поддержка жителей города Магнитогорска» на 2025 – 2030 годы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Создание условий для роста благосостояния граждан </w:t>
            </w:r>
            <w:r>
              <w:rPr>
                <w:sz w:val="20"/>
              </w:rPr>
              <w:t>– получателей мер социальной поддержки, повышение доступности социального обслуживания населения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12" w:rsidRDefault="00686F5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социальной защиты населения</w:t>
            </w:r>
          </w:p>
        </w:tc>
      </w:tr>
    </w:tbl>
    <w:p w:rsidR="009A7812" w:rsidRDefault="009A7812">
      <w:pPr>
        <w:rPr>
          <w:sz w:val="16"/>
        </w:rPr>
      </w:pPr>
    </w:p>
    <w:sectPr w:rsidR="009A7812">
      <w:pgSz w:w="16838" w:h="11906" w:orient="landscape"/>
      <w:pgMar w:top="709" w:right="567" w:bottom="284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12"/>
    <w:rsid w:val="002546F5"/>
    <w:rsid w:val="00686F59"/>
    <w:rsid w:val="009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DF1"/>
  <w15:docId w15:val="{F9A140A1-E3C6-4D2D-9604-156B9336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6195&amp;dst=105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1590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Николаевна Шарафмаль</cp:lastModifiedBy>
  <cp:revision>3</cp:revision>
  <dcterms:created xsi:type="dcterms:W3CDTF">2025-11-10T08:19:00Z</dcterms:created>
  <dcterms:modified xsi:type="dcterms:W3CDTF">2025-11-10T08:42:00Z</dcterms:modified>
</cp:coreProperties>
</file>