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Работодателям Челябинской области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tabs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Главное управление по труду и занятости населения Че</w:t>
      </w:r>
      <w:r>
        <w:rPr>
          <w:rFonts w:ascii="Times New Roman" w:hAnsi="Times New Roman"/>
          <w:sz w:val="28"/>
        </w:rPr>
        <w:t>лябинской области объявляет о проведении в 2025 году регионального этапа всероссийского конкурса профессионального мастерства «Лучший по профессии» в «Спецноминации для переобучившихся» (Второй старт)                   (далее – Конкурс) для переобучившихся</w:t>
      </w:r>
      <w:r>
        <w:rPr>
          <w:rFonts w:ascii="Times New Roman" w:hAnsi="Times New Roman"/>
          <w:sz w:val="28"/>
        </w:rPr>
        <w:t xml:space="preserve"> по программам переподготовки в целях получения новой рабочей профессии. Конкурс организован для повышения престижа рабочих профессий, а также содействия и популяризации программ по переобучению по востребованным на рынке труда профессиям и специальностям.</w:t>
      </w:r>
    </w:p>
    <w:p w14:paraId="0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Конкурс проводится в два этапа: </w:t>
      </w:r>
      <w:r>
        <w:rPr>
          <w:rFonts w:ascii="Times New Roman" w:hAnsi="Times New Roman"/>
          <w:b w:val="1"/>
          <w:sz w:val="28"/>
        </w:rPr>
        <w:t>региональный и федеральный</w:t>
      </w:r>
      <w:r>
        <w:rPr>
          <w:rFonts w:ascii="Times New Roman" w:hAnsi="Times New Roman"/>
          <w:sz w:val="28"/>
        </w:rPr>
        <w:t>. Требования к квалификации для участия в Конкурсе: наличие профессиональной переподготовки по рабочей профессии в рамках федерального проекта «Содействие занятости» национального проекта «Де</w:t>
      </w:r>
      <w:r>
        <w:rPr>
          <w:rFonts w:ascii="Times New Roman" w:hAnsi="Times New Roman"/>
          <w:sz w:val="28"/>
        </w:rPr>
        <w:t>мография» или других программ дополнительного профессионального образования по рабочим профессиям. Опыт работы по полученной специальности не менее 1 года в организациях, осуществляющих свою деятельность по основному виду в соответствии со следующим ОКВЭД:</w:t>
      </w:r>
    </w:p>
    <w:p w14:paraId="0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A. Сельское, лесное хозяйство, охота, рыболовство и рыбоводство.</w:t>
      </w:r>
    </w:p>
    <w:p w14:paraId="0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B. Добыча полезных ископаемых.</w:t>
      </w:r>
    </w:p>
    <w:p w14:paraId="0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C. Обрабатывающие производства.</w:t>
      </w:r>
    </w:p>
    <w:p w14:paraId="0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D. Обеспечение электрической энергией, газом и паром;</w:t>
      </w:r>
    </w:p>
    <w:p w14:paraId="0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кондиционирование воздуха.</w:t>
      </w:r>
    </w:p>
    <w:p w14:paraId="0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14:paraId="0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F. Строительство.</w:t>
      </w:r>
    </w:p>
    <w:p w14:paraId="0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G. Торговля оптовая и розничная; ремонт автотранспортных средств и мотоциклов.</w:t>
      </w:r>
    </w:p>
    <w:p w14:paraId="0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H. Транспортировка и хранение.</w:t>
      </w:r>
    </w:p>
    <w:p w14:paraId="0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I. Деятельность гостиниц и предприятий общественного питания.</w:t>
      </w:r>
    </w:p>
    <w:p w14:paraId="0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J. Деятельность в области информации и связи.</w:t>
      </w:r>
    </w:p>
    <w:p w14:paraId="1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K. Деятельность финансовая и страховая.</w:t>
      </w:r>
    </w:p>
    <w:p w14:paraId="1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L. Деятельность по операциям с недвижимым имуществом.</w:t>
      </w:r>
    </w:p>
    <w:p w14:paraId="1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M. Деятельность профессиональная, научная и техническая.</w:t>
      </w:r>
    </w:p>
    <w:p w14:paraId="1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N. Деятельность административная и сопутствующие дополнительные услуги.</w:t>
      </w:r>
    </w:p>
    <w:p w14:paraId="1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O. Государственное управление и обеспечение военной безопасности; социальное обеспечение.</w:t>
      </w:r>
    </w:p>
    <w:p w14:paraId="1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P. Образование.</w:t>
      </w:r>
    </w:p>
    <w:p w14:paraId="1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Q. Деятельность в области здравоохранения и социальных услуг.</w:t>
      </w:r>
    </w:p>
    <w:p w14:paraId="1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Раздел R. Деятельность в области культуры, спорта, организации досуга и развлечений.</w:t>
      </w: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региональном и федеральном этапах является бесплатным.</w:t>
      </w:r>
    </w:p>
    <w:p w14:paraId="19000000">
      <w:pPr>
        <w:spacing w:after="0" w:line="240" w:lineRule="auto"/>
        <w:ind w:firstLine="720" w:left="0"/>
        <w:jc w:val="both"/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задания регионального этапа состоят из трех модулей.</w:t>
      </w: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1. Презентация профессионального пути</w:t>
      </w: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2695"/>
        <w:gridCol w:w="2787"/>
        <w:gridCol w:w="2913"/>
        <w:gridCol w:w="1175"/>
      </w:tblGrid>
      <w:tr>
        <w:tc>
          <w:tcPr>
            <w:tcW w:type="dxa" w:w="2695"/>
          </w:tcPr>
          <w:p w14:paraId="1D000000">
            <w:pPr>
              <w:rPr>
                <w:rFonts w:ascii="TimesNewRomanPS-BoldMT" w:hAnsi="TimesNewRomanPS-BoldMT"/>
                <w:b w:val="1"/>
                <w:sz w:val="28"/>
              </w:rPr>
            </w:pPr>
            <w:r>
              <w:rPr>
                <w:rFonts w:ascii="TimesNewRomanPS-BoldMT" w:hAnsi="TimesNewRomanPS-BoldMT"/>
                <w:b w:val="1"/>
                <w:sz w:val="28"/>
              </w:rPr>
              <w:t>Наименование модуля</w:t>
            </w:r>
          </w:p>
        </w:tc>
        <w:tc>
          <w:tcPr>
            <w:tcW w:type="dxa" w:w="2787"/>
          </w:tcPr>
          <w:p w14:paraId="1E000000">
            <w:pPr>
              <w:rPr>
                <w:rFonts w:ascii="TimesNewRomanPS-BoldMT" w:hAnsi="TimesNewRomanPS-BoldMT"/>
                <w:b w:val="1"/>
                <w:sz w:val="28"/>
              </w:rPr>
            </w:pPr>
            <w:r>
              <w:rPr>
                <w:rFonts w:ascii="TimesNewRomanPS-BoldMT" w:hAnsi="TimesNewRomanPS-BoldMT"/>
                <w:b w:val="1"/>
                <w:sz w:val="28"/>
              </w:rPr>
              <w:t>Краткое описание</w:t>
            </w:r>
          </w:p>
        </w:tc>
        <w:tc>
          <w:tcPr>
            <w:tcW w:type="dxa" w:w="2913"/>
          </w:tcPr>
          <w:p w14:paraId="1F000000">
            <w:pPr>
              <w:rPr>
                <w:rFonts w:ascii="TimesNewRomanPS-BoldMT" w:hAnsi="TimesNewRomanPS-BoldMT"/>
                <w:b w:val="1"/>
                <w:sz w:val="28"/>
              </w:rPr>
            </w:pPr>
            <w:r>
              <w:rPr>
                <w:rFonts w:ascii="TimesNewRomanPS-BoldMT" w:hAnsi="TimesNewRomanPS-BoldMT"/>
                <w:b w:val="1"/>
                <w:sz w:val="28"/>
              </w:rPr>
              <w:t>Механика выполнения</w:t>
            </w:r>
          </w:p>
        </w:tc>
        <w:tc>
          <w:tcPr>
            <w:tcW w:type="dxa" w:w="1175"/>
          </w:tcPr>
          <w:p w14:paraId="20000000">
            <w:pPr>
              <w:rPr>
                <w:rFonts w:ascii="TimesNewRomanPS-BoldMT" w:hAnsi="TimesNewRomanPS-BoldMT"/>
                <w:b w:val="1"/>
                <w:sz w:val="28"/>
              </w:rPr>
            </w:pPr>
            <w:r>
              <w:rPr>
                <w:rFonts w:ascii="TimesNewRomanPS-BoldMT" w:hAnsi="TimesNewRomanPS-BoldMT"/>
                <w:b w:val="1"/>
                <w:sz w:val="28"/>
              </w:rPr>
              <w:t>Кол-во баллов</w:t>
            </w:r>
          </w:p>
        </w:tc>
      </w:tr>
      <w:tr>
        <w:tc>
          <w:tcPr>
            <w:tcW w:type="dxa" w:w="2695"/>
          </w:tcPr>
          <w:p w14:paraId="21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Презентация профессионального пути</w:t>
            </w:r>
          </w:p>
        </w:tc>
        <w:tc>
          <w:tcPr>
            <w:tcW w:type="dxa" w:w="2787"/>
          </w:tcPr>
          <w:p w14:paraId="22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Презентация профессионального пути выполняется по 4 блокам:</w:t>
            </w:r>
          </w:p>
          <w:p w14:paraId="23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Первый блок - «Как рискнул и сменил профессию»</w:t>
            </w:r>
            <w:r>
              <w:rPr>
                <w:rFonts w:ascii="TimesNewRomanPS-BoldMT" w:hAnsi="TimesNewRomanPS-BoldMT"/>
                <w:sz w:val="28"/>
              </w:rPr>
              <w:t>,</w:t>
            </w:r>
          </w:p>
          <w:p w14:paraId="24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Второй блок - «Мой первый рабочий день в новой профессии»</w:t>
            </w:r>
            <w:r>
              <w:rPr>
                <w:rFonts w:ascii="TimesNewRomanPS-BoldMT" w:hAnsi="TimesNewRomanPS-BoldMT"/>
                <w:sz w:val="28"/>
              </w:rPr>
              <w:t>,</w:t>
            </w:r>
          </w:p>
          <w:p w14:paraId="25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Третий блок- «Мои наставники»</w:t>
            </w:r>
            <w:r>
              <w:rPr>
                <w:rFonts w:ascii="TimesNewRomanPS-BoldMT" w:hAnsi="TimesNewRomanPS-BoldMT"/>
                <w:sz w:val="28"/>
              </w:rPr>
              <w:t>,</w:t>
            </w:r>
          </w:p>
          <w:p w14:paraId="26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Четвертый блок - «Моя первая победа»</w:t>
            </w:r>
          </w:p>
          <w:p w14:paraId="27000000">
            <w:pPr>
              <w:rPr>
                <w:rFonts w:ascii="TimesNewRomanPS-BoldMT" w:hAnsi="TimesNewRomanPS-BoldMT"/>
                <w:sz w:val="28"/>
              </w:rPr>
            </w:pPr>
          </w:p>
          <w:p w14:paraId="28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Каждый этап представляет собой короткий рассказ о становлении в новой профессии.</w:t>
            </w:r>
          </w:p>
          <w:p w14:paraId="29000000">
            <w:pPr>
              <w:rPr>
                <w:rFonts w:ascii="TimesNewRomanPS-BoldMT" w:hAnsi="TimesNewRomanPS-BoldMT"/>
                <w:sz w:val="28"/>
              </w:rPr>
            </w:pPr>
          </w:p>
        </w:tc>
        <w:tc>
          <w:tcPr>
            <w:tcW w:type="dxa" w:w="2913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о становлении</w:t>
            </w:r>
            <w:r>
              <w:rPr>
                <w:rFonts w:ascii="Times New Roman" w:hAnsi="Times New Roman"/>
                <w:sz w:val="28"/>
              </w:rPr>
              <w:t xml:space="preserve"> в профессии может быть </w:t>
            </w:r>
            <w:r>
              <w:rPr>
                <w:rFonts w:ascii="Times New Roman" w:hAnsi="Times New Roman"/>
                <w:sz w:val="28"/>
              </w:rPr>
              <w:t>реализован в формате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профессиональном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празднике, на встрече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новыми сотрудниками</w:t>
            </w:r>
            <w:r>
              <w:rPr>
                <w:rFonts w:ascii="Times New Roman" w:hAnsi="Times New Roman"/>
                <w:sz w:val="28"/>
              </w:rPr>
              <w:t xml:space="preserve"> предприятия, на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профориентационной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встрече, в ходе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профориентационного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тура, на встрече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обучающимися по это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профессии или с теми, кто выбирает профессию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сейчас, а также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формате рассказа или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видео-обращения</w:t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личной странице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социальных сетях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(разрешенных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Российской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Федерации).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Верификацией</w:t>
            </w:r>
          </w:p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проведения встречи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может быть пост</w:t>
            </w: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личной странице</w:t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участника, на странице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предприятия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организации, в том числе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базе которой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проходила встреча, 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региональной службы</w:t>
            </w:r>
          </w:p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занятости,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публикация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СМИ (разрешенных</w:t>
            </w:r>
          </w:p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Российской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Федерации), в том </w:t>
            </w:r>
            <w:r>
              <w:rPr>
                <w:rFonts w:ascii="Times New Roman" w:hAnsi="Times New Roman"/>
                <w:sz w:val="28"/>
              </w:rPr>
              <w:t>числе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корпоративном СМИ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(разрешенных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Российской</w:t>
            </w: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Федерации).</w:t>
            </w:r>
          </w:p>
        </w:tc>
        <w:tc>
          <w:tcPr>
            <w:tcW w:type="dxa" w:w="1175"/>
          </w:tcPr>
          <w:p w14:paraId="45000000">
            <w:pPr>
              <w:rPr>
                <w:rFonts w:ascii="TimesNewRomanPS-BoldMT" w:hAnsi="TimesNewRomanPS-BoldMT"/>
                <w:sz w:val="28"/>
              </w:rPr>
            </w:pPr>
            <w:r>
              <w:rPr>
                <w:rFonts w:ascii="TimesNewRomanPS-BoldMT" w:hAnsi="TimesNewRomanPS-BoldMT"/>
                <w:sz w:val="28"/>
              </w:rPr>
              <w:t>До 200</w:t>
            </w:r>
          </w:p>
        </w:tc>
      </w:tr>
    </w:tbl>
    <w:p w14:paraId="4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Модуль 1 выполняется конкурсантом в течение 12-ти календарных дней с даты начала регионального этапа.</w:t>
      </w:r>
    </w:p>
    <w:p w14:paraId="4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Ссылки на материалы о проведенных мероприятиях загружаются на информационный ресурс в течение 5-ти рабочих дней со дня проведения соответствующего мероприятия, но не позднее срока окончания проведения Модуля 1.</w:t>
      </w:r>
    </w:p>
    <w:p w14:paraId="4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После загрузки ссылок на информационный ресурс региональная экспертная комиссия оценивает и выставляет баллы в соответствии с прилагаемыми критериями, не позднее даты завершения регионального этапа.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сроки могут быть скорректированы в случае наличия особых обстоятельств.</w:t>
      </w:r>
    </w:p>
    <w:p w14:paraId="4A00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sz w:val="28"/>
        </w:rPr>
        <w:t>Модуль 2. Теоретическая часть.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 Конкурса включает в себя выполнение тестовых заданий (20 вопросов) по охране труда.</w:t>
      </w:r>
    </w:p>
    <w:p w14:paraId="4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Тестирование проводится очно и одновременно со всеми конкурсантами.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для прохождения тестирования – не более 30 минут.</w:t>
      </w:r>
    </w:p>
    <w:p w14:paraId="4E00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sz w:val="28"/>
        </w:rPr>
        <w:t>Модуль 3. Кейс-задание</w:t>
      </w:r>
    </w:p>
    <w:p w14:paraId="4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Мастер-класс «Я – Мастер».</w:t>
      </w:r>
    </w:p>
    <w:p w14:paraId="5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Участник Конкурса записывает видео, в котором обучает одному из ключевых навыков своей профессии.</w:t>
      </w:r>
    </w:p>
    <w:p w14:paraId="5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Видеоролик должен быть практико-ориентирован</w:t>
      </w:r>
      <w:r>
        <w:rPr>
          <w:rFonts w:ascii="Times New Roman" w:hAnsi="Times New Roman"/>
          <w:sz w:val="28"/>
        </w:rPr>
        <w:t>ным, содержать пояснения выполняемых действий. Допускается запись видео частями. При отсутствии ограничений видео может быть записано с рабочего места. В видео допускается участие третьих лиц. Монтаж видео допускается, но не является обязательным условием.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видеоролик (размещенный на разрешенных в Российской Федерации информационных платформах) загружается конкурсантом на информационный ресурс не позднее 14 календарных дней до даты завершения регионального этапа.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 конкурсных заданий регионального этапа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both"/>
      </w:pPr>
    </w:p>
    <w:tbl>
      <w:tblPr>
        <w:tblStyle w:val="Style_1"/>
        <w:tblLayout w:type="fixed"/>
      </w:tblPr>
      <w:tblGrid>
        <w:gridCol w:w="816"/>
        <w:gridCol w:w="6520"/>
        <w:gridCol w:w="2233"/>
      </w:tblGrid>
      <w:tr>
        <w:tc>
          <w:tcPr>
            <w:tcW w:type="dxa" w:w="816"/>
          </w:tcPr>
          <w:p w14:paraId="5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520"/>
          </w:tcPr>
          <w:p w14:paraId="5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задания</w:t>
            </w:r>
          </w:p>
        </w:tc>
        <w:tc>
          <w:tcPr>
            <w:tcW w:type="dxa" w:w="2233"/>
          </w:tcPr>
          <w:p w14:paraId="5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Диапазон баллов</w:t>
            </w:r>
          </w:p>
        </w:tc>
      </w:tr>
      <w:tr>
        <w:tc>
          <w:tcPr>
            <w:tcW w:type="dxa" w:w="816"/>
          </w:tcPr>
          <w:p w14:paraId="5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520"/>
          </w:tcPr>
          <w:p w14:paraId="5D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1.</w:t>
            </w:r>
          </w:p>
          <w:p w14:paraId="5E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Презентация профессионального пути</w:t>
            </w:r>
          </w:p>
        </w:tc>
        <w:tc>
          <w:tcPr>
            <w:tcW w:type="dxa" w:w="2233"/>
          </w:tcPr>
          <w:p w14:paraId="5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200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50 баллов за каждый блок)</w:t>
            </w:r>
          </w:p>
        </w:tc>
      </w:tr>
      <w:tr>
        <w:tc>
          <w:tcPr>
            <w:tcW w:type="dxa" w:w="816"/>
          </w:tcPr>
          <w:p w14:paraId="6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6520"/>
          </w:tcPr>
          <w:p w14:paraId="6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Содержательно раскрыты темы презентации</w:t>
            </w:r>
          </w:p>
        </w:tc>
        <w:tc>
          <w:tcPr>
            <w:tcW w:type="dxa" w:w="2233"/>
          </w:tcPr>
          <w:p w14:paraId="6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20 баллов </w:t>
            </w:r>
            <w:r>
              <w:rPr>
                <w:rFonts w:ascii="Times New Roman" w:hAnsi="Times New Roman"/>
                <w:sz w:val="28"/>
              </w:rPr>
              <w:t xml:space="preserve">(по каждому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блоку)</w:t>
            </w:r>
          </w:p>
        </w:tc>
      </w:tr>
      <w:tr>
        <w:tc>
          <w:tcPr>
            <w:tcW w:type="dxa" w:w="816"/>
          </w:tcPr>
          <w:p w14:paraId="6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6520"/>
          </w:tcPr>
          <w:p w14:paraId="6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 фото-видео материалы презентации</w:t>
            </w:r>
          </w:p>
        </w:tc>
        <w:tc>
          <w:tcPr>
            <w:tcW w:type="dxa" w:w="2233"/>
          </w:tcPr>
          <w:p w14:paraId="6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 баллов (по каждому блоку)</w:t>
            </w:r>
          </w:p>
        </w:tc>
      </w:tr>
      <w:tr>
        <w:tc>
          <w:tcPr>
            <w:tcW w:type="dxa" w:w="816"/>
          </w:tcPr>
          <w:p w14:paraId="6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6520"/>
          </w:tcPr>
          <w:p w14:paraId="6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рассказе раскрыты особенности новой профессии</w:t>
            </w:r>
          </w:p>
        </w:tc>
        <w:tc>
          <w:tcPr>
            <w:tcW w:type="dxa" w:w="2233"/>
          </w:tcPr>
          <w:p w14:paraId="6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 баллов (по каждому блоку)</w:t>
            </w:r>
          </w:p>
        </w:tc>
      </w:tr>
      <w:tr>
        <w:tc>
          <w:tcPr>
            <w:tcW w:type="dxa" w:w="816"/>
          </w:tcPr>
          <w:p w14:paraId="6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type="dxa" w:w="6520"/>
          </w:tcPr>
          <w:p w14:paraId="6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поддержана работодателем и размещена на корпоративной странице (сайте), на сайте профсоюза или на странице руководителя, наставника, коллеги</w:t>
            </w:r>
          </w:p>
        </w:tc>
        <w:tc>
          <w:tcPr>
            <w:tcW w:type="dxa" w:w="2233"/>
          </w:tcPr>
          <w:p w14:paraId="6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баллов (по каждому блоку)</w:t>
            </w:r>
          </w:p>
        </w:tc>
      </w:tr>
      <w:tr>
        <w:tc>
          <w:tcPr>
            <w:tcW w:type="dxa" w:w="816"/>
          </w:tcPr>
          <w:p w14:paraId="6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520"/>
          </w:tcPr>
          <w:p w14:paraId="6E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2.</w:t>
            </w:r>
          </w:p>
          <w:p w14:paraId="6F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Теоретическая часть</w:t>
            </w:r>
          </w:p>
        </w:tc>
        <w:tc>
          <w:tcPr>
            <w:tcW w:type="dxa" w:w="2233"/>
          </w:tcPr>
          <w:p w14:paraId="7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40</w:t>
            </w:r>
          </w:p>
        </w:tc>
      </w:tr>
      <w:tr>
        <w:tc>
          <w:tcPr>
            <w:tcW w:type="dxa" w:w="816"/>
          </w:tcPr>
          <w:p w14:paraId="7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6520"/>
          </w:tcPr>
          <w:p w14:paraId="7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Тестовое задание (2 балла за каждый правильный ответ)</w:t>
            </w:r>
          </w:p>
        </w:tc>
        <w:tc>
          <w:tcPr>
            <w:tcW w:type="dxa" w:w="2233"/>
          </w:tcPr>
          <w:p w14:paraId="7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40</w:t>
            </w:r>
          </w:p>
        </w:tc>
      </w:tr>
      <w:tr>
        <w:tc>
          <w:tcPr>
            <w:tcW w:type="dxa" w:w="816"/>
          </w:tcPr>
          <w:p w14:paraId="7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520"/>
          </w:tcPr>
          <w:p w14:paraId="75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3. Кейс-задание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Мастер-класс «Я-Мастер»</w:t>
            </w:r>
          </w:p>
        </w:tc>
        <w:tc>
          <w:tcPr>
            <w:tcW w:type="dxa" w:w="2233"/>
          </w:tcPr>
          <w:p w14:paraId="7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260</w:t>
            </w:r>
          </w:p>
        </w:tc>
      </w:tr>
      <w:tr>
        <w:tc>
          <w:tcPr>
            <w:tcW w:type="dxa" w:w="816"/>
          </w:tcPr>
          <w:p w14:paraId="7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6520"/>
          </w:tcPr>
          <w:p w14:paraId="7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сюжета видеоролика заявленной теме задания</w:t>
            </w:r>
          </w:p>
        </w:tc>
        <w:tc>
          <w:tcPr>
            <w:tcW w:type="dxa" w:w="2233"/>
          </w:tcPr>
          <w:p w14:paraId="7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30</w:t>
            </w:r>
          </w:p>
        </w:tc>
      </w:tr>
      <w:tr>
        <w:tc>
          <w:tcPr>
            <w:tcW w:type="dxa" w:w="816"/>
          </w:tcPr>
          <w:p w14:paraId="7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type="dxa" w:w="6520"/>
          </w:tcPr>
          <w:p w14:paraId="7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значимость и применимость представленного материала</w:t>
            </w:r>
          </w:p>
        </w:tc>
        <w:tc>
          <w:tcPr>
            <w:tcW w:type="dxa" w:w="2233"/>
          </w:tcPr>
          <w:p w14:paraId="7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40</w:t>
            </w:r>
          </w:p>
        </w:tc>
      </w:tr>
      <w:tr>
        <w:tc>
          <w:tcPr>
            <w:tcW w:type="dxa" w:w="816"/>
          </w:tcPr>
          <w:p w14:paraId="7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type="dxa" w:w="6520"/>
          </w:tcPr>
          <w:p w14:paraId="7F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Логичность, структурированность представляемого</w:t>
            </w:r>
          </w:p>
          <w:p w14:paraId="8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материала</w:t>
            </w:r>
          </w:p>
        </w:tc>
        <w:tc>
          <w:tcPr>
            <w:tcW w:type="dxa" w:w="2233"/>
          </w:tcPr>
          <w:p w14:paraId="8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</w:t>
            </w:r>
          </w:p>
        </w:tc>
      </w:tr>
      <w:tr>
        <w:tc>
          <w:tcPr>
            <w:tcW w:type="dxa" w:w="816"/>
          </w:tcPr>
          <w:p w14:paraId="8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type="dxa" w:w="6520"/>
          </w:tcPr>
          <w:p w14:paraId="8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 укладывается в хронометраж менее 20 минут</w:t>
            </w:r>
          </w:p>
        </w:tc>
        <w:tc>
          <w:tcPr>
            <w:tcW w:type="dxa" w:w="2233"/>
          </w:tcPr>
          <w:p w14:paraId="8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</w:t>
            </w:r>
          </w:p>
        </w:tc>
      </w:tr>
      <w:tr>
        <w:trPr>
          <w:trHeight w:hRule="atLeast" w:val="328"/>
        </w:trPr>
        <w:tc>
          <w:tcPr>
            <w:tcW w:type="dxa" w:w="816"/>
          </w:tcPr>
          <w:p w14:paraId="8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type="dxa" w:w="6520"/>
          </w:tcPr>
          <w:p w14:paraId="8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профессиональных навыков</w:t>
            </w:r>
          </w:p>
        </w:tc>
        <w:tc>
          <w:tcPr>
            <w:tcW w:type="dxa" w:w="2233"/>
          </w:tcPr>
          <w:p w14:paraId="8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130</w:t>
            </w:r>
          </w:p>
        </w:tc>
      </w:tr>
      <w:tr>
        <w:tc>
          <w:tcPr>
            <w:tcW w:type="dxa" w:w="816"/>
          </w:tcPr>
          <w:p w14:paraId="8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type="dxa" w:w="6520"/>
          </w:tcPr>
          <w:p w14:paraId="89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Подтвержденный факт вовлечения работодателя в</w:t>
            </w:r>
          </w:p>
          <w:p w14:paraId="8A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подготовку ролика: подтвержденным фактом считается участие коллектива предприятия, съемки на рабочем месте, использование ролика в</w:t>
            </w:r>
          </w:p>
          <w:p w14:paraId="8B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качестве рекомендованного материала при подготовке и/или найме новых сотрудников, размещение ролика в социальных сетях (разрешенных в Российской Федерации) на странице предприятия, профсоюзной организации предприятия или на иных площадках</w:t>
            </w:r>
          </w:p>
        </w:tc>
        <w:tc>
          <w:tcPr>
            <w:tcW w:type="dxa" w:w="2233"/>
          </w:tcPr>
          <w:p w14:paraId="8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</w:t>
            </w:r>
          </w:p>
        </w:tc>
      </w:tr>
      <w:tr>
        <w:tc>
          <w:tcPr>
            <w:tcW w:type="dxa" w:w="816"/>
          </w:tcPr>
          <w:p w14:paraId="8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</w:t>
            </w:r>
          </w:p>
        </w:tc>
        <w:tc>
          <w:tcPr>
            <w:tcW w:type="dxa" w:w="6520"/>
          </w:tcPr>
          <w:p w14:paraId="8E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Видеоролик превышает 40 минут:</w:t>
            </w:r>
          </w:p>
          <w:p w14:paraId="8F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 1 до 5 минут</w:t>
            </w:r>
          </w:p>
          <w:p w14:paraId="90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 6 до 10 минут</w:t>
            </w:r>
          </w:p>
          <w:p w14:paraId="91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 11 до 15 минут</w:t>
            </w:r>
          </w:p>
          <w:p w14:paraId="9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16 и более минут</w:t>
            </w:r>
          </w:p>
        </w:tc>
        <w:tc>
          <w:tcPr>
            <w:tcW w:type="dxa" w:w="2233"/>
          </w:tcPr>
          <w:p w14:paraId="9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</w:t>
            </w:r>
          </w:p>
          <w:p w14:paraId="9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-10</w:t>
            </w:r>
          </w:p>
          <w:p w14:paraId="9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-25</w:t>
            </w:r>
          </w:p>
          <w:p w14:paraId="9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-50</w:t>
            </w:r>
          </w:p>
        </w:tc>
      </w:tr>
      <w:tr>
        <w:tc>
          <w:tcPr>
            <w:tcW w:type="dxa" w:w="816"/>
          </w:tcPr>
          <w:p w14:paraId="9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0"/>
          </w:tcPr>
          <w:p w14:paraId="9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3"/>
          </w:tcPr>
          <w:p w14:paraId="9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816"/>
          </w:tcPr>
          <w:p w14:paraId="9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0"/>
          </w:tcPr>
          <w:p w14:paraId="9C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      ИТОГО</w:t>
            </w:r>
          </w:p>
        </w:tc>
        <w:tc>
          <w:tcPr>
            <w:tcW w:type="dxa" w:w="2233"/>
          </w:tcPr>
          <w:p w14:paraId="9D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 500</w:t>
            </w:r>
          </w:p>
        </w:tc>
      </w:tr>
    </w:tbl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регионального этапа будут номинированы для участия на федеральном уровне.</w:t>
      </w:r>
    </w:p>
    <w:p w14:paraId="9F000000">
      <w:pPr>
        <w:spacing w:after="0" w:line="240" w:lineRule="auto"/>
        <w:ind w:firstLine="709" w:left="0"/>
        <w:jc w:val="both"/>
      </w:pPr>
    </w:p>
    <w:p w14:paraId="A0000000">
      <w:pPr>
        <w:spacing w:after="0" w:line="240" w:lineRule="auto"/>
        <w:ind w:firstLine="709" w:left="0"/>
        <w:jc w:val="both"/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Федеральный этап Конкурса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задания федерального этапа состоят из трех модулей.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1. Презентация новой профессии</w:t>
      </w:r>
    </w:p>
    <w:tbl>
      <w:tblPr>
        <w:tblStyle w:val="Style_1"/>
        <w:tblLayout w:type="fixed"/>
      </w:tblPr>
      <w:tblGrid>
        <w:gridCol w:w="2092"/>
        <w:gridCol w:w="2268"/>
        <w:gridCol w:w="3827"/>
        <w:gridCol w:w="1383"/>
      </w:tblGrid>
      <w:tr>
        <w:trPr>
          <w:trHeight w:hRule="atLeast" w:val="261"/>
        </w:trPr>
        <w:tc>
          <w:tcPr>
            <w:tcW w:type="dxa" w:w="2092"/>
          </w:tcPr>
          <w:p w14:paraId="A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модуля</w:t>
            </w:r>
          </w:p>
        </w:tc>
        <w:tc>
          <w:tcPr>
            <w:tcW w:type="dxa" w:w="2268"/>
          </w:tcPr>
          <w:p w14:paraId="A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</w:t>
            </w:r>
          </w:p>
        </w:tc>
        <w:tc>
          <w:tcPr>
            <w:tcW w:type="dxa" w:w="3827"/>
          </w:tcPr>
          <w:p w14:paraId="A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Механика выполнения</w:t>
            </w:r>
          </w:p>
        </w:tc>
        <w:tc>
          <w:tcPr>
            <w:tcW w:type="dxa" w:w="1383"/>
          </w:tcPr>
          <w:p w14:paraId="A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баллов</w:t>
            </w:r>
          </w:p>
        </w:tc>
      </w:tr>
      <w:tr>
        <w:tc>
          <w:tcPr>
            <w:tcW w:type="dxa" w:w="2092"/>
          </w:tcPr>
          <w:p w14:paraId="A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новой профессии</w:t>
            </w:r>
          </w:p>
        </w:tc>
        <w:tc>
          <w:tcPr>
            <w:tcW w:type="dxa" w:w="2268"/>
          </w:tcPr>
          <w:p w14:paraId="A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новой профессии: «5 плюсов и возможностей моей новой работы»</w:t>
            </w:r>
          </w:p>
          <w:p w14:paraId="A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Задача-раскрыть преимущества полученной рабочей профессии, ее специфику доступной для широкой аудитории форме</w:t>
            </w:r>
          </w:p>
        </w:tc>
        <w:tc>
          <w:tcPr>
            <w:tcW w:type="dxa" w:w="3827"/>
          </w:tcPr>
          <w:p w14:paraId="AE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Презентация может быть</w:t>
            </w:r>
          </w:p>
          <w:p w14:paraId="AF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проведена в формате мастер-</w:t>
            </w:r>
          </w:p>
          <w:p w14:paraId="B0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класса, лекции, поста в</w:t>
            </w:r>
          </w:p>
          <w:p w14:paraId="B1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социальных сетях (разрешенных в Российской Федерации) или публикации материала для СМИ</w:t>
            </w:r>
          </w:p>
          <w:p w14:paraId="B2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(разрешенных в Российской</w:t>
            </w:r>
          </w:p>
          <w:p w14:paraId="B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Федерации).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Верификацией проведения</w:t>
            </w:r>
          </w:p>
          <w:p w14:paraId="B6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встречи может быть пост на</w:t>
            </w:r>
          </w:p>
          <w:p w14:paraId="B7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личной странице участника, на странице предприятия или</w:t>
            </w:r>
          </w:p>
          <w:p w14:paraId="B8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организации, в том числе на базе которой проходила встреча, или региональной службы занятости, публикация в СМИ (разрешенных в Российской Федерации), в том числе – в корпоративном СМИ </w:t>
            </w:r>
          </w:p>
          <w:p w14:paraId="B9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(разрешенных в Российской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Федерации).</w:t>
            </w:r>
          </w:p>
        </w:tc>
        <w:tc>
          <w:tcPr>
            <w:tcW w:type="dxa" w:w="1383"/>
          </w:tcPr>
          <w:p w14:paraId="B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50</w:t>
            </w:r>
          </w:p>
        </w:tc>
      </w:tr>
    </w:tbl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D00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b w:val="1"/>
          <w:sz w:val="28"/>
        </w:rPr>
        <w:t>Модуль 2. Теоретическая часть.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Теоретическая часть Конкурса включает в себя выполнение тестовых заданий (20 тестовых вопросов) по охране труда и трудовым правам работников.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Кейс-задание Видео-визитка «Знакомство с профессией».</w:t>
      </w:r>
    </w:p>
    <w:p w14:paraId="C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Видео-визитка «Знакомство с профессией»</w:t>
      </w:r>
    </w:p>
    <w:p w14:paraId="C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Предполагает подготовку регионом, направляю</w:t>
      </w:r>
      <w:r>
        <w:rPr>
          <w:rFonts w:ascii="Times New Roman" w:hAnsi="Times New Roman"/>
          <w:sz w:val="28"/>
        </w:rPr>
        <w:t>щим финалиста на федеральный этап, видеоролика, демонстрирующего профессиональные качества, навыки и умения участника Конкурса, с возможностью визуальной демонстрации профессиональных достижений на рабочем месте, особенностей и преимуществ новой профессии.</w:t>
      </w:r>
    </w:p>
    <w:p w14:paraId="C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Органы службы занятости населения субъекта Российской Федерации оказывают содействие при подготовке видеоролика конкурсанта – победителя регионального этапа.</w:t>
      </w:r>
    </w:p>
    <w:p w14:paraId="C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Видеоролик должен быть ясным, кратким, с использованием конкретных примеров и подробным описанием достижений по вновь полученной рабочей профессии.</w:t>
      </w:r>
    </w:p>
    <w:p w14:paraId="C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Структура видеоролика:</w:t>
      </w:r>
    </w:p>
    <w:p w14:paraId="C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 Краткая информация о себе.</w:t>
      </w:r>
    </w:p>
    <w:p w14:paraId="C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 История карьерной траектории (трудовой путь).</w:t>
      </w:r>
    </w:p>
    <w:p w14:paraId="C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 Мотивы выбора новой рабочей профессии.</w:t>
      </w:r>
    </w:p>
    <w:p w14:paraId="C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 Преимущества новой профессии.</w:t>
      </w:r>
    </w:p>
    <w:p w14:paraId="C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Продолжительность видеоролика – не более 15 минут.</w:t>
      </w:r>
    </w:p>
    <w:p w14:paraId="C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Ссылка на видеоролик (размещенный на разрешенных в Российской Федерации информационных платформах) конкурсантом загружается на информационный ресурс в период с 18.08.2025 по 08.09.2025.</w:t>
      </w:r>
    </w:p>
    <w:p w14:paraId="C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Федеральная экспертная комиссия в данном модуле может дополнительно привлекать экспертов – представителей сферы деятельности конкурсанта – для оценки его профессиональных знаний и навыков, демонстрируемых в видеоролике.</w:t>
      </w:r>
    </w:p>
    <w:p w14:paraId="C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срок до 12.09.2025 федеральная экс</w:t>
      </w:r>
      <w:r>
        <w:rPr>
          <w:rFonts w:ascii="Times New Roman" w:hAnsi="Times New Roman"/>
          <w:sz w:val="28"/>
        </w:rPr>
        <w:t>пертная комиссия проводит оценку соответствия сюжета видеоролика конкурсанта заявленной теме задания и формирует заключение о соблюдении базовых профессиональных требований, требований охраны труда и иных обязательных требований в зависимости от профессии.</w:t>
      </w:r>
    </w:p>
    <w:p w14:paraId="C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период с 16.09.2025 (начало голосования в 00:01 по мск) по 30.09.2025 (завершен</w:t>
      </w:r>
      <w:r>
        <w:rPr>
          <w:rFonts w:ascii="Times New Roman" w:hAnsi="Times New Roman"/>
          <w:sz w:val="28"/>
        </w:rPr>
        <w:t>ие голосования в 20:00 по мск) на общедоступном информационном ресурсе будет обеспечено «народное голосование» за видеоролики конкурсантов федерального этапа и по итогам голосования начислены баллы в зависимости от процента проголосовавших за каждый ролик:</w:t>
      </w:r>
    </w:p>
    <w:p w14:paraId="C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50 баллов – от 1,0% до 5,0% от всех голосов,</w:t>
      </w:r>
    </w:p>
    <w:p w14:paraId="C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75 баллов – от 5,1% до 7,0% голосов,</w:t>
      </w:r>
    </w:p>
    <w:p w14:paraId="D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100 баллов – участнику, находящемуся на третьем месте по количеству голосов;</w:t>
      </w:r>
    </w:p>
    <w:p w14:paraId="D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150 баллов – участнику, находящемуся на втором месте по количеству голосов;</w:t>
      </w:r>
    </w:p>
    <w:p w14:paraId="D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200 баллов – участнику, набравшему наибольшее количество голосов.</w:t>
      </w:r>
    </w:p>
    <w:p w14:paraId="D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если доля голосов за участника, находящегося на первом, втором и/или третьем месте по количеству голосов, составляет менее 7,0%, участнику начисляется 200, 150 или 100 баллов соответственно.</w:t>
      </w:r>
    </w:p>
    <w:p w14:paraId="D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Указанные сроки могут быть скорректированы в случае наличия особых обстоятельств.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3. «Урок профессий» (практическое задание)</w:t>
      </w:r>
    </w:p>
    <w:tbl>
      <w:tblPr>
        <w:tblStyle w:val="Style_1"/>
        <w:tblLayout w:type="fixed"/>
      </w:tblPr>
      <w:tblGrid>
        <w:gridCol w:w="2392"/>
        <w:gridCol w:w="2109"/>
        <w:gridCol w:w="3402"/>
        <w:gridCol w:w="1666"/>
      </w:tblGrid>
      <w:tr>
        <w:tc>
          <w:tcPr>
            <w:tcW w:type="dxa" w:w="2392"/>
          </w:tcPr>
          <w:p w14:paraId="D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D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модуля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9"/>
          </w:tcPr>
          <w:p w14:paraId="D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прохождения</w:t>
            </w:r>
          </w:p>
        </w:tc>
        <w:tc>
          <w:tcPr>
            <w:tcW w:type="dxa" w:w="3402"/>
          </w:tcPr>
          <w:p w14:paraId="D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</w:t>
            </w:r>
          </w:p>
        </w:tc>
        <w:tc>
          <w:tcPr>
            <w:tcW w:type="dxa" w:w="1666"/>
          </w:tcPr>
          <w:p w14:paraId="D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баллов</w:t>
            </w:r>
          </w:p>
        </w:tc>
      </w:tr>
      <w:tr>
        <w:tc>
          <w:tcPr>
            <w:tcW w:type="dxa" w:w="2392"/>
          </w:tcPr>
          <w:p w14:paraId="D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профессии</w:t>
            </w:r>
          </w:p>
        </w:tc>
        <w:tc>
          <w:tcPr>
            <w:tcW w:type="dxa" w:w="2109"/>
          </w:tcPr>
          <w:p w14:paraId="D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проведение урока- не более 10-ти минут, на вопросы экспертов или участников урока профессий –не более 5-ти минут</w:t>
            </w:r>
          </w:p>
        </w:tc>
        <w:tc>
          <w:tcPr>
            <w:tcW w:type="dxa" w:w="3402"/>
          </w:tcPr>
          <w:p w14:paraId="DE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Формируются группы из</w:t>
            </w:r>
          </w:p>
          <w:p w14:paraId="DF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участников Конкурса по</w:t>
            </w:r>
          </w:p>
          <w:p w14:paraId="E0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5-10 человек по различным</w:t>
            </w:r>
          </w:p>
          <w:p w14:paraId="E1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профессиям (группы</w:t>
            </w:r>
          </w:p>
          <w:p w14:paraId="E2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определяются</w:t>
            </w:r>
          </w:p>
          <w:p w14:paraId="E3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непосредственно перед</w:t>
            </w:r>
          </w:p>
          <w:p w14:paraId="E4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федеральным этапом на</w:t>
            </w:r>
          </w:p>
          <w:p w14:paraId="E5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основании списка победителей</w:t>
            </w:r>
          </w:p>
          <w:p w14:paraId="E6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региональных этапов).</w:t>
            </w:r>
          </w:p>
          <w:p w14:paraId="E7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Группы выступают перед</w:t>
            </w:r>
          </w:p>
          <w:p w14:paraId="E8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школьниками 9 – 11 классов</w:t>
            </w:r>
          </w:p>
          <w:p w14:paraId="E9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(будет предусмотрена онлайн</w:t>
            </w:r>
          </w:p>
          <w:p w14:paraId="EA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трансляция и возможность</w:t>
            </w:r>
          </w:p>
          <w:p w14:paraId="EB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выставления баллов</w:t>
            </w:r>
          </w:p>
          <w:p w14:paraId="EC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дистанционно) и</w:t>
            </w:r>
          </w:p>
          <w:p w14:paraId="ED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представителями федеральной</w:t>
            </w:r>
          </w:p>
          <w:p w14:paraId="E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экспертной комиссии.</w:t>
            </w:r>
          </w:p>
        </w:tc>
        <w:tc>
          <w:tcPr>
            <w:tcW w:type="dxa" w:w="1666"/>
          </w:tcPr>
          <w:p w14:paraId="E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200</w:t>
            </w:r>
          </w:p>
        </w:tc>
      </w:tr>
    </w:tbl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F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Урок профессий проводится с целью популяризации рабочих профессий среди школьников, стоящих перед выбором своей будущей профессии.</w:t>
      </w:r>
    </w:p>
    <w:p w14:paraId="F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Данное мероприятие будет способствовать знакомству с тонкостями и</w:t>
      </w:r>
    </w:p>
    <w:p w14:paraId="F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содержанием практического пр</w:t>
      </w:r>
      <w:r>
        <w:rPr>
          <w:rFonts w:ascii="Times New Roman" w:hAnsi="Times New Roman"/>
          <w:sz w:val="28"/>
        </w:rPr>
        <w:t>именения полученных профессиональных знаний, что повысит уровень практико-ориентированности проводимого урока и заинтересованности школьников в выборе рабочей профессии с целью обеспеченности высокой кадровой потребности работодателей Российской Федерации.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заявок на участие в региональном этапе Конкурса осуществляется до </w:t>
      </w:r>
      <w:r>
        <w:rPr>
          <w:rFonts w:ascii="Times New Roman" w:hAnsi="Times New Roman"/>
          <w:b w:val="1"/>
          <w:sz w:val="28"/>
        </w:rPr>
        <w:t xml:space="preserve"> 15 июня 2025 года</w:t>
      </w:r>
      <w:r>
        <w:rPr>
          <w:rFonts w:ascii="Times New Roman" w:hAnsi="Times New Roman"/>
          <w:sz w:val="28"/>
        </w:rPr>
        <w:t>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вопросам проведения Конкурса обращаться в Главное управление по труду и занятости населения Челябинской области (</w:t>
      </w:r>
      <w:r>
        <w:rPr>
          <w:rFonts w:ascii="Times New Roman" w:hAnsi="Times New Roman"/>
          <w:b w:val="1"/>
          <w:sz w:val="28"/>
        </w:rPr>
        <w:t>г. Челябинск, ул. Комсомольская, 18 а</w:t>
      </w:r>
      <w:r>
        <w:rPr>
          <w:rFonts w:ascii="Times New Roman" w:hAnsi="Times New Roman"/>
          <w:sz w:val="28"/>
        </w:rPr>
        <w:t xml:space="preserve">), отдел регулирования трудовых отношений и развития социального партнерства, </w:t>
      </w:r>
      <w:r>
        <w:rPr>
          <w:rFonts w:ascii="Times New Roman" w:hAnsi="Times New Roman"/>
          <w:b w:val="1"/>
          <w:sz w:val="28"/>
        </w:rPr>
        <w:t>кабинет 102, контактные лица Афиногенова Ирина Аркадьевна, Замятина Ольга Маратовна телефон: (351) 237-08-92, 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"http://Afinogenova_IA@szn74.ru" \o "http://Afinogenova_IA@szn74.ru"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Afinogenova_IA@szn74.ru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"mailto:Zamyatina_OM@szn74.ru." \o "mailto:Zamyatina_OM@szn74.ru."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Zamyatina_OM@szn74.ru.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</w:t>
      </w:r>
    </w:p>
    <w:p w14:paraId="F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Инструкция участника по подаче заявки на Всероссийский конкурс профессионального мастерства «Лучший по профессии» (ссылка);</w:t>
      </w:r>
    </w:p>
    <w:p w14:paraId="F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Методические рекомендации по организации и проведению конкурса профессионального мастерства «Лучший по профессии» (ссылка) , размещены на официальном сайте сайте Главного управления по труду и занятости населения Челябинской области: szn.gov74.ru.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Полная информация о проведении Конкурса размещена на официальном сайте Главного управления (www.szn.</w:t>
      </w:r>
      <w:r>
        <w:rPr>
          <w:rFonts w:ascii="Times New Roman" w:hAnsi="Times New Roman"/>
          <w:sz w:val="28"/>
        </w:rPr>
        <w:t>gov</w:t>
      </w:r>
      <w:r>
        <w:rPr>
          <w:rFonts w:ascii="Times New Roman" w:hAnsi="Times New Roman"/>
          <w:sz w:val="28"/>
        </w:rPr>
        <w:t xml:space="preserve">74.ru) в разделе </w:t>
      </w:r>
      <w:r>
        <w:rPr>
          <w:rFonts w:ascii="Times New Roman" w:hAnsi="Times New Roman"/>
          <w:b w:val="1"/>
          <w:sz w:val="28"/>
        </w:rPr>
        <w:t>Дополнительно / Социальное партнёрство / Конкурсы / Региональный этап всероссийского конкурса в «Спецноминации для переобучившихся» (Второй старт) / 2025</w:t>
      </w:r>
      <w:r>
        <w:rPr>
          <w:rFonts w:ascii="Times New Roman" w:hAnsi="Times New Roman"/>
          <w:sz w:val="28"/>
        </w:rPr>
        <w:t>.</w:t>
      </w:r>
    </w:p>
    <w:p w14:paraId="FA000000">
      <w:pPr>
        <w:tabs>
          <w:tab w:leader="none" w:pos="2280" w:val="left"/>
        </w:tabs>
        <w:ind/>
        <w:rPr>
          <w:sz w:val="28"/>
        </w:rPr>
      </w:pP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sectPr>
      <w:type w:val="nextPage"/>
      <w:pgSz w:h="16838" w:orient="portrait" w:w="11906"/>
      <w:pgMar w:bottom="568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3_ch"/>
    <w:link w:val="Style_5"/>
  </w:style>
  <w:style w:styleId="Style_6" w:type="paragraph">
    <w:name w:val="Heading 3 Char"/>
    <w:basedOn w:val="Style_4"/>
    <w:link w:val="Style_6_ch"/>
    <w:rPr>
      <w:rFonts w:ascii="Arial" w:hAnsi="Arial"/>
      <w:sz w:val="30"/>
    </w:rPr>
  </w:style>
  <w:style w:styleId="Style_6_ch" w:type="character">
    <w:name w:val="Heading 3 Char"/>
    <w:basedOn w:val="Style_4_ch"/>
    <w:link w:val="Style_6"/>
    <w:rPr>
      <w:rFonts w:ascii="Arial" w:hAnsi="Arial"/>
      <w:sz w:val="30"/>
    </w:rPr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Intense Quote Char"/>
    <w:link w:val="Style_9_ch"/>
    <w:rPr>
      <w:i w:val="1"/>
    </w:rPr>
  </w:style>
  <w:style w:styleId="Style_9_ch" w:type="character">
    <w:name w:val="Intense Quote Char"/>
    <w:link w:val="Style_9"/>
    <w:rPr>
      <w:i w:val="1"/>
    </w:rPr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3_ch"/>
    <w:link w:val="Style_11"/>
  </w:style>
  <w:style w:styleId="Style_12" w:type="paragraph">
    <w:name w:val="Endnote"/>
    <w:basedOn w:val="Style_3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Header"/>
    <w:basedOn w:val="Style_3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Subtitle Char"/>
    <w:basedOn w:val="Style_4"/>
    <w:link w:val="Style_15_ch"/>
    <w:rPr>
      <w:sz w:val="24"/>
    </w:rPr>
  </w:style>
  <w:style w:styleId="Style_15_ch" w:type="character">
    <w:name w:val="Subtitle Char"/>
    <w:basedOn w:val="Style_4_ch"/>
    <w:link w:val="Style_15"/>
    <w:rPr>
      <w:sz w:val="24"/>
    </w:rPr>
  </w:style>
  <w:style w:styleId="Style_16" w:type="paragraph">
    <w:name w:val="Quote"/>
    <w:basedOn w:val="Style_3"/>
    <w:next w:val="Style_3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3_ch"/>
    <w:link w:val="Style_16"/>
    <w:rPr>
      <w:i w:val="1"/>
    </w:rPr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footnote reference"/>
    <w:basedOn w:val="Style_4"/>
    <w:link w:val="Style_18_ch"/>
    <w:rPr>
      <w:vertAlign w:val="superscript"/>
    </w:rPr>
  </w:style>
  <w:style w:styleId="Style_18_ch" w:type="character">
    <w:name w:val="footnote reference"/>
    <w:basedOn w:val="Style_4_ch"/>
    <w:link w:val="Style_18"/>
    <w:rPr>
      <w:vertAlign w:val="superscript"/>
    </w:rPr>
  </w:style>
  <w:style w:styleId="Style_19" w:type="paragraph">
    <w:name w:val="Heading 9 Char"/>
    <w:basedOn w:val="Style_4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4_ch"/>
    <w:link w:val="Style_19"/>
    <w:rPr>
      <w:rFonts w:ascii="Arial" w:hAnsi="Arial"/>
      <w:i w:val="1"/>
      <w:sz w:val="21"/>
    </w:rPr>
  </w:style>
  <w:style w:styleId="Style_20" w:type="paragraph">
    <w:name w:val="Endnote Text Char"/>
    <w:link w:val="Style_20_ch"/>
    <w:rPr>
      <w:sz w:val="20"/>
    </w:rPr>
  </w:style>
  <w:style w:styleId="Style_20_ch" w:type="character">
    <w:name w:val="Endnote Text Char"/>
    <w:link w:val="Style_20"/>
    <w:rPr>
      <w:sz w:val="20"/>
    </w:rPr>
  </w:style>
  <w:style w:styleId="Style_21" w:type="paragraph">
    <w:name w:val="Heading 1 Char"/>
    <w:basedOn w:val="Style_4"/>
    <w:link w:val="Style_21_ch"/>
    <w:rPr>
      <w:rFonts w:ascii="Arial" w:hAnsi="Arial"/>
      <w:sz w:val="40"/>
    </w:rPr>
  </w:style>
  <w:style w:styleId="Style_21_ch" w:type="character">
    <w:name w:val="Heading 1 Char"/>
    <w:basedOn w:val="Style_4_ch"/>
    <w:link w:val="Style_21"/>
    <w:rPr>
      <w:rFonts w:ascii="Arial" w:hAnsi="Arial"/>
      <w:sz w:val="40"/>
    </w:rPr>
  </w:style>
  <w:style w:styleId="Style_22" w:type="paragraph">
    <w:name w:val="Footer"/>
    <w:basedOn w:val="Style_3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toc 3"/>
    <w:basedOn w:val="Style_3"/>
    <w:next w:val="Style_3"/>
    <w:link w:val="Style_23_ch"/>
    <w:uiPriority w:val="39"/>
    <w:pPr>
      <w:spacing w:after="57"/>
      <w:ind w:firstLine="0" w:left="567"/>
    </w:pPr>
  </w:style>
  <w:style w:styleId="Style_23_ch" w:type="character">
    <w:name w:val="toc 3"/>
    <w:basedOn w:val="Style_3_ch"/>
    <w:link w:val="Style_23"/>
  </w:style>
  <w:style w:styleId="Style_24" w:type="paragraph">
    <w:name w:val="Heading 5 Char"/>
    <w:basedOn w:val="Style_4"/>
    <w:link w:val="Style_24_ch"/>
    <w:rPr>
      <w:rFonts w:ascii="Arial" w:hAnsi="Arial"/>
      <w:b w:val="1"/>
      <w:sz w:val="24"/>
    </w:rPr>
  </w:style>
  <w:style w:styleId="Style_24_ch" w:type="character">
    <w:name w:val="Heading 5 Char"/>
    <w:basedOn w:val="Style_4_ch"/>
    <w:link w:val="Style_24"/>
    <w:rPr>
      <w:rFonts w:ascii="Arial" w:hAnsi="Arial"/>
      <w:b w:val="1"/>
      <w:sz w:val="24"/>
    </w:rPr>
  </w:style>
  <w:style w:styleId="Style_25" w:type="paragraph">
    <w:name w:val="Heading 4 Char"/>
    <w:basedOn w:val="Style_4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4_ch"/>
    <w:link w:val="Style_25"/>
    <w:rPr>
      <w:rFonts w:ascii="Arial" w:hAnsi="Arial"/>
      <w:b w:val="1"/>
      <w:sz w:val="26"/>
    </w:rPr>
  </w:style>
  <w:style w:styleId="Style_26" w:type="paragraph">
    <w:name w:val="endnote reference"/>
    <w:basedOn w:val="Style_4"/>
    <w:link w:val="Style_26_ch"/>
    <w:rPr>
      <w:vertAlign w:val="superscript"/>
    </w:rPr>
  </w:style>
  <w:style w:styleId="Style_26_ch" w:type="character">
    <w:name w:val="endnote reference"/>
    <w:basedOn w:val="Style_4_ch"/>
    <w:link w:val="Style_26"/>
    <w:rPr>
      <w:vertAlign w:val="superscript"/>
    </w:rPr>
  </w:style>
  <w:style w:styleId="Style_27" w:type="paragraph">
    <w:name w:val="heading 5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3_ch"/>
    <w:link w:val="Style_27"/>
    <w:rPr>
      <w:rFonts w:ascii="Arial" w:hAnsi="Arial"/>
      <w:b w:val="1"/>
      <w:sz w:val="24"/>
    </w:rPr>
  </w:style>
  <w:style w:styleId="Style_28" w:type="paragraph">
    <w:name w:val="Header Char"/>
    <w:basedOn w:val="Style_4"/>
    <w:link w:val="Style_28_ch"/>
  </w:style>
  <w:style w:styleId="Style_28_ch" w:type="character">
    <w:name w:val="Header Char"/>
    <w:basedOn w:val="Style_4_ch"/>
    <w:link w:val="Style_28"/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Footnote Text Char"/>
    <w:link w:val="Style_30_ch"/>
    <w:rPr>
      <w:sz w:val="18"/>
    </w:rPr>
  </w:style>
  <w:style w:styleId="Style_30_ch" w:type="character">
    <w:name w:val="Footnote Text Char"/>
    <w:link w:val="Style_30"/>
    <w:rPr>
      <w:sz w:val="18"/>
    </w:rPr>
  </w:style>
  <w:style w:styleId="Style_31" w:type="paragraph">
    <w:name w:val="heading 1"/>
    <w:basedOn w:val="Style_3"/>
    <w:next w:val="Style_3"/>
    <w:link w:val="Style_3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1_ch" w:type="character">
    <w:name w:val="heading 1"/>
    <w:basedOn w:val="Style_3_ch"/>
    <w:link w:val="Style_31"/>
    <w:rPr>
      <w:rFonts w:ascii="Arial" w:hAnsi="Arial"/>
      <w:sz w:val="40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Title Char"/>
    <w:basedOn w:val="Style_4"/>
    <w:link w:val="Style_33_ch"/>
    <w:rPr>
      <w:sz w:val="48"/>
    </w:rPr>
  </w:style>
  <w:style w:styleId="Style_33_ch" w:type="character">
    <w:name w:val="Title Char"/>
    <w:basedOn w:val="Style_4_ch"/>
    <w:link w:val="Style_33"/>
    <w:rPr>
      <w:sz w:val="48"/>
    </w:rPr>
  </w:style>
  <w:style w:styleId="Style_2" w:type="paragraph">
    <w:name w:val="Hyperlink"/>
    <w:basedOn w:val="Style_4"/>
    <w:link w:val="Style_2_ch"/>
    <w:rPr>
      <w:color w:themeColor="hyperlink" w:val="0563C1"/>
      <w:u w:val="single"/>
    </w:rPr>
  </w:style>
  <w:style w:styleId="Style_2_ch" w:type="character">
    <w:name w:val="Hyperlink"/>
    <w:basedOn w:val="Style_4_ch"/>
    <w:link w:val="Style_2"/>
    <w:rPr>
      <w:color w:themeColor="hyperlink" w:val="0563C1"/>
      <w:u w:val="single"/>
    </w:rPr>
  </w:style>
  <w:style w:styleId="Style_34" w:type="paragraph">
    <w:name w:val="Footnote"/>
    <w:basedOn w:val="Style_3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3_ch"/>
    <w:link w:val="Style_34"/>
    <w:rPr>
      <w:sz w:val="18"/>
    </w:rPr>
  </w:style>
  <w:style w:styleId="Style_35" w:type="paragraph">
    <w:name w:val="heading 8"/>
    <w:basedOn w:val="Style_3"/>
    <w:next w:val="Style_3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5_ch" w:type="character">
    <w:name w:val="heading 8"/>
    <w:basedOn w:val="Style_3_ch"/>
    <w:link w:val="Style_35"/>
    <w:rPr>
      <w:rFonts w:ascii="Arial" w:hAnsi="Arial"/>
      <w:i w:val="1"/>
    </w:rPr>
  </w:style>
  <w:style w:styleId="Style_36" w:type="paragraph">
    <w:name w:val="toc 1"/>
    <w:basedOn w:val="Style_3"/>
    <w:next w:val="Style_3"/>
    <w:link w:val="Style_36_ch"/>
    <w:uiPriority w:val="39"/>
    <w:pPr>
      <w:spacing w:after="57"/>
      <w:ind/>
    </w:pPr>
  </w:style>
  <w:style w:styleId="Style_36_ch" w:type="character">
    <w:name w:val="toc 1"/>
    <w:basedOn w:val="Style_3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Intense Quote"/>
    <w:basedOn w:val="Style_3"/>
    <w:next w:val="Style_3"/>
    <w:link w:val="Style_38_ch"/>
    <w:pPr>
      <w:ind w:firstLine="0" w:left="720" w:right="720"/>
    </w:pPr>
    <w:rPr>
      <w:i w:val="1"/>
    </w:rPr>
  </w:style>
  <w:style w:styleId="Style_38_ch" w:type="character">
    <w:name w:val="Intense Quote"/>
    <w:basedOn w:val="Style_3_ch"/>
    <w:link w:val="Style_38"/>
    <w:rPr>
      <w:i w:val="1"/>
    </w:rPr>
  </w:style>
  <w:style w:styleId="Style_39" w:type="paragraph">
    <w:name w:val="toc 9"/>
    <w:basedOn w:val="Style_3"/>
    <w:next w:val="Style_3"/>
    <w:link w:val="Style_39_ch"/>
    <w:uiPriority w:val="39"/>
    <w:pPr>
      <w:spacing w:after="57"/>
      <w:ind w:firstLine="0" w:left="2268"/>
    </w:pPr>
  </w:style>
  <w:style w:styleId="Style_39_ch" w:type="character">
    <w:name w:val="toc 9"/>
    <w:basedOn w:val="Style_3_ch"/>
    <w:link w:val="Style_39"/>
  </w:style>
  <w:style w:styleId="Style_40" w:type="paragraph">
    <w:name w:val="Heading 7 Char"/>
    <w:basedOn w:val="Style_4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basedOn w:val="Style_4_ch"/>
    <w:link w:val="Style_40"/>
    <w:rPr>
      <w:rFonts w:ascii="Arial" w:hAnsi="Arial"/>
      <w:b w:val="1"/>
      <w:i w:val="1"/>
      <w:sz w:val="22"/>
    </w:rPr>
  </w:style>
  <w:style w:styleId="Style_41" w:type="paragraph">
    <w:name w:val="toc 8"/>
    <w:basedOn w:val="Style_3"/>
    <w:next w:val="Style_3"/>
    <w:link w:val="Style_41_ch"/>
    <w:uiPriority w:val="39"/>
    <w:pPr>
      <w:spacing w:after="57"/>
      <w:ind w:firstLine="0" w:left="1984"/>
    </w:pPr>
  </w:style>
  <w:style w:styleId="Style_41_ch" w:type="character">
    <w:name w:val="toc 8"/>
    <w:basedOn w:val="Style_3_ch"/>
    <w:link w:val="Style_41"/>
  </w:style>
  <w:style w:styleId="Style_42" w:type="paragraph">
    <w:name w:val="Heading 8 Char"/>
    <w:basedOn w:val="Style_4"/>
    <w:link w:val="Style_42_ch"/>
    <w:rPr>
      <w:rFonts w:ascii="Arial" w:hAnsi="Arial"/>
      <w:i w:val="1"/>
      <w:sz w:val="22"/>
    </w:rPr>
  </w:style>
  <w:style w:styleId="Style_42_ch" w:type="character">
    <w:name w:val="Heading 8 Char"/>
    <w:basedOn w:val="Style_4_ch"/>
    <w:link w:val="Style_42"/>
    <w:rPr>
      <w:rFonts w:ascii="Arial" w:hAnsi="Arial"/>
      <w:i w:val="1"/>
      <w:sz w:val="22"/>
    </w:rPr>
  </w:style>
  <w:style w:styleId="Style_43" w:type="paragraph">
    <w:name w:val="toc 5"/>
    <w:basedOn w:val="Style_3"/>
    <w:next w:val="Style_3"/>
    <w:link w:val="Style_43_ch"/>
    <w:uiPriority w:val="39"/>
    <w:pPr>
      <w:spacing w:after="57"/>
      <w:ind w:firstLine="0" w:left="1134"/>
    </w:pPr>
  </w:style>
  <w:style w:styleId="Style_43_ch" w:type="character">
    <w:name w:val="toc 5"/>
    <w:basedOn w:val="Style_3_ch"/>
    <w:link w:val="Style_43"/>
  </w:style>
  <w:style w:styleId="Style_44" w:type="paragraph">
    <w:name w:val="Heading 2 Char"/>
    <w:basedOn w:val="Style_4"/>
    <w:link w:val="Style_44_ch"/>
    <w:rPr>
      <w:rFonts w:ascii="Arial" w:hAnsi="Arial"/>
      <w:sz w:val="34"/>
    </w:rPr>
  </w:style>
  <w:style w:styleId="Style_44_ch" w:type="character">
    <w:name w:val="Heading 2 Char"/>
    <w:basedOn w:val="Style_4_ch"/>
    <w:link w:val="Style_44"/>
    <w:rPr>
      <w:rFonts w:ascii="Arial" w:hAnsi="Arial"/>
      <w:sz w:val="34"/>
    </w:rPr>
  </w:style>
  <w:style w:styleId="Style_45" w:type="paragraph">
    <w:name w:val="Balloon Text"/>
    <w:basedOn w:val="Style_3"/>
    <w:link w:val="Style_45_ch"/>
    <w:pPr>
      <w:spacing w:after="0" w:line="240" w:lineRule="auto"/>
      <w:ind/>
    </w:pPr>
    <w:rPr>
      <w:rFonts w:ascii="Segoe UI" w:hAnsi="Segoe UI"/>
      <w:sz w:val="18"/>
    </w:rPr>
  </w:style>
  <w:style w:styleId="Style_45_ch" w:type="character">
    <w:name w:val="Balloon Text"/>
    <w:basedOn w:val="Style_3_ch"/>
    <w:link w:val="Style_45"/>
    <w:rPr>
      <w:rFonts w:ascii="Segoe UI" w:hAnsi="Segoe UI"/>
      <w:sz w:val="18"/>
    </w:rPr>
  </w:style>
  <w:style w:styleId="Style_46" w:type="paragraph">
    <w:name w:val="Caption Char"/>
    <w:basedOn w:val="Style_4"/>
    <w:link w:val="Style_46_ch"/>
    <w:rPr>
      <w:b w:val="1"/>
      <w:color w:themeColor="accent1" w:val="5B9BD5"/>
      <w:sz w:val="18"/>
    </w:rPr>
  </w:style>
  <w:style w:styleId="Style_46_ch" w:type="character">
    <w:name w:val="Caption Char"/>
    <w:basedOn w:val="Style_4_ch"/>
    <w:link w:val="Style_46"/>
    <w:rPr>
      <w:b w:val="1"/>
      <w:color w:themeColor="accent1" w:val="5B9BD5"/>
      <w:sz w:val="18"/>
    </w:rPr>
  </w:style>
  <w:style w:styleId="Style_47" w:type="paragraph">
    <w:name w:val="List Paragraph"/>
    <w:basedOn w:val="Style_3"/>
    <w:link w:val="Style_47_ch"/>
    <w:pPr>
      <w:ind w:firstLine="0" w:left="720"/>
      <w:contextualSpacing w:val="1"/>
    </w:pPr>
  </w:style>
  <w:style w:styleId="Style_47_ch" w:type="character">
    <w:name w:val="List Paragraph"/>
    <w:basedOn w:val="Style_3_ch"/>
    <w:link w:val="Style_47"/>
  </w:style>
  <w:style w:styleId="Style_48" w:type="paragraph">
    <w:name w:val="Heading 6 Char"/>
    <w:basedOn w:val="Style_4"/>
    <w:link w:val="Style_48_ch"/>
    <w:rPr>
      <w:rFonts w:ascii="Arial" w:hAnsi="Arial"/>
      <w:b w:val="1"/>
      <w:sz w:val="22"/>
    </w:rPr>
  </w:style>
  <w:style w:styleId="Style_48_ch" w:type="character">
    <w:name w:val="Heading 6 Char"/>
    <w:basedOn w:val="Style_4_ch"/>
    <w:link w:val="Style_48"/>
    <w:rPr>
      <w:rFonts w:ascii="Arial" w:hAnsi="Arial"/>
      <w:b w:val="1"/>
      <w:sz w:val="22"/>
    </w:rPr>
  </w:style>
  <w:style w:styleId="Style_49" w:type="paragraph">
    <w:name w:val="Subtitle"/>
    <w:basedOn w:val="Style_3"/>
    <w:next w:val="Style_3"/>
    <w:link w:val="Style_49_ch"/>
    <w:uiPriority w:val="11"/>
    <w:qFormat/>
    <w:pPr>
      <w:spacing w:after="200" w:before="200"/>
      <w:ind/>
    </w:pPr>
    <w:rPr>
      <w:sz w:val="24"/>
    </w:rPr>
  </w:style>
  <w:style w:styleId="Style_49_ch" w:type="character">
    <w:name w:val="Subtitle"/>
    <w:basedOn w:val="Style_3_ch"/>
    <w:link w:val="Style_49"/>
    <w:rPr>
      <w:sz w:val="24"/>
    </w:rPr>
  </w:style>
  <w:style w:styleId="Style_50" w:type="paragraph">
    <w:name w:val="Quote Char"/>
    <w:link w:val="Style_50_ch"/>
    <w:rPr>
      <w:i w:val="1"/>
    </w:rPr>
  </w:style>
  <w:style w:styleId="Style_50_ch" w:type="character">
    <w:name w:val="Quote Char"/>
    <w:link w:val="Style_50"/>
    <w:rPr>
      <w:i w:val="1"/>
    </w:rPr>
  </w:style>
  <w:style w:styleId="Style_51" w:type="paragraph">
    <w:name w:val="ConsPlusNormal"/>
    <w:link w:val="Style_5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1_ch" w:type="character">
    <w:name w:val="ConsPlusNormal"/>
    <w:link w:val="Style_51"/>
    <w:rPr>
      <w:rFonts w:ascii="Arial" w:hAnsi="Arial"/>
      <w:sz w:val="20"/>
    </w:rPr>
  </w:style>
  <w:style w:styleId="Style_52" w:type="paragraph">
    <w:name w:val="Title"/>
    <w:basedOn w:val="Style_3"/>
    <w:next w:val="Style_3"/>
    <w:link w:val="Style_52_ch"/>
    <w:uiPriority w:val="10"/>
    <w:qFormat/>
    <w:pPr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3_ch"/>
    <w:link w:val="Style_52"/>
    <w:rPr>
      <w:sz w:val="48"/>
    </w:rPr>
  </w:style>
  <w:style w:styleId="Style_53" w:type="paragraph">
    <w:name w:val="heading 4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3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3"/>
    <w:next w:val="Style_3"/>
    <w:link w:val="Style_5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3_ch"/>
    <w:link w:val="Style_54"/>
    <w:rPr>
      <w:rFonts w:ascii="Arial" w:hAnsi="Arial"/>
      <w:sz w:val="34"/>
    </w:rPr>
  </w:style>
  <w:style w:styleId="Style_55" w:type="paragraph">
    <w:name w:val="Caption"/>
    <w:basedOn w:val="Style_3"/>
    <w:next w:val="Style_3"/>
    <w:link w:val="Style_55_ch"/>
    <w:pPr>
      <w:spacing w:line="276" w:lineRule="auto"/>
      <w:ind/>
    </w:pPr>
    <w:rPr>
      <w:b w:val="1"/>
      <w:color w:themeColor="accent1" w:val="5B9BD5"/>
      <w:sz w:val="18"/>
    </w:rPr>
  </w:style>
  <w:style w:styleId="Style_55_ch" w:type="character">
    <w:name w:val="Caption"/>
    <w:basedOn w:val="Style_3_ch"/>
    <w:link w:val="Style_55"/>
    <w:rPr>
      <w:b w:val="1"/>
      <w:color w:themeColor="accent1" w:val="5B9BD5"/>
      <w:sz w:val="18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6_ch" w:type="character">
    <w:name w:val="heading 6"/>
    <w:basedOn w:val="Style_3_ch"/>
    <w:link w:val="Style_56"/>
    <w:rPr>
      <w:rFonts w:ascii="Arial" w:hAnsi="Arial"/>
      <w:b w:val="1"/>
    </w:rPr>
  </w:style>
  <w:style w:styleId="Style_57" w:type="paragraph">
    <w:name w:val="Footer Char"/>
    <w:basedOn w:val="Style_4"/>
    <w:link w:val="Style_57_ch"/>
  </w:style>
  <w:style w:styleId="Style_57_ch" w:type="character">
    <w:name w:val="Footer Char"/>
    <w:basedOn w:val="Style_4_ch"/>
    <w:link w:val="Style_57"/>
  </w:style>
  <w:style w:styleId="Style_58" w:type="paragraph">
    <w:name w:val="table of figures"/>
    <w:basedOn w:val="Style_3"/>
    <w:next w:val="Style_3"/>
    <w:link w:val="Style_58_ch"/>
    <w:pPr>
      <w:spacing w:after="0"/>
      <w:ind/>
    </w:pPr>
  </w:style>
  <w:style w:styleId="Style_58_ch" w:type="character">
    <w:name w:val="table of figures"/>
    <w:basedOn w:val="Style_3_ch"/>
    <w:link w:val="Style_58"/>
  </w:style>
  <w:style w:styleId="Style_59" w:type="table">
    <w:name w:val="Grid Table 2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Bordered &amp; Lined - Accent 1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6 Colorful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4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Plain Table 5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5 Dark - Accent 3"/>
    <w:basedOn w:val="Style_6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3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6 Colorful - Accent 6"/>
    <w:basedOn w:val="Style_6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7 Colorful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7 Colorful - Accent 6"/>
    <w:basedOn w:val="Style_6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4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4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1 Light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1 Light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4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1 Light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ned - Accent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7 Colorful - Accent 6"/>
    <w:basedOn w:val="Style_6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2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7 Colorful"/>
    <w:basedOn w:val="Style_6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5 Dark - Accent 2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7 Colorful"/>
    <w:basedOn w:val="Style_6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 4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6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2"/>
    <w:basedOn w:val="Style_6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1 Light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3 - Accent 1"/>
    <w:basedOn w:val="Style_6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7 Colorful - Accent 1"/>
    <w:basedOn w:val="Style_60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2 - Accent 6"/>
    <w:basedOn w:val="Style_6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Plain Table 2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5 Dark - Accent 3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6"/>
    <w:basedOn w:val="Style_6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6 Colorful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Plain Table 4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&amp; Lined - Accent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1 Light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4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"/>
    <w:basedOn w:val="Style_6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"/>
    <w:basedOn w:val="Style_6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2"/>
    <w:basedOn w:val="Style_6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7 Colorful - Accent 3"/>
    <w:basedOn w:val="Style_6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ned - Accent 2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5"/>
    <w:basedOn w:val="Style_6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7 Colorful - Accent 5"/>
    <w:basedOn w:val="Style_6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 6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2"/>
    <w:basedOn w:val="Style_6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6 Colorful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1 Light - Accent 1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"/>
    <w:basedOn w:val="Style_6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6 Colorful - Accent 1"/>
    <w:basedOn w:val="Style_6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 - Accent 5"/>
    <w:basedOn w:val="Style_6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6"/>
    <w:basedOn w:val="Style_6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6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2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 - Accent 5"/>
    <w:basedOn w:val="Style_6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5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3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2"/>
    <w:basedOn w:val="Style_6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5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Plain Table 1"/>
    <w:basedOn w:val="Style_6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2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"/>
    <w:basedOn w:val="Style_6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6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5 Dark - Accent 6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1 Light - Accent 3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3"/>
    <w:basedOn w:val="Style_6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1"/>
    <w:basedOn w:val="Style_6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4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"/>
    <w:basedOn w:val="Style_6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7 Colorful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"/>
    <w:basedOn w:val="Style_6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- Accent 4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2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4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5 Dark - Accent 4"/>
    <w:basedOn w:val="Style_6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ned - Accent 3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3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5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1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1 Light - Accent 4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2 - Accent 5"/>
    <w:basedOn w:val="Style_6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5"/>
    <w:basedOn w:val="Style_6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"/>
    <w:basedOn w:val="Style_6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4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4"/>
    <w:basedOn w:val="Style_6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3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1 Light - Accent 2"/>
    <w:basedOn w:val="Style_6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1 Light"/>
    <w:basedOn w:val="Style_6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- Accent 5"/>
    <w:basedOn w:val="Style_6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Table Grid Light"/>
    <w:basedOn w:val="Style_6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4 - Accent 1"/>
    <w:basedOn w:val="Style_6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6 Colorful - Accent 4"/>
    <w:basedOn w:val="Style_6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1"/>
    <w:basedOn w:val="Style_6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- Accent 2"/>
    <w:basedOn w:val="Style_6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3"/>
    <w:basedOn w:val="Style_6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2 - Accent 3"/>
    <w:basedOn w:val="Style_6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6 Colorful - Accent 3"/>
    <w:basedOn w:val="Style_6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7 Colorful - Accent 4"/>
    <w:basedOn w:val="Style_6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2 - Accent 6"/>
    <w:basedOn w:val="Style_6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5 Dark- Accent 1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5 Dark - Accent 5"/>
    <w:basedOn w:val="Style_6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2025-05-27T08:08:24Z</dcterms:modified>
</cp:coreProperties>
</file>