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667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01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02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</w:p>
          <w:p w14:paraId="03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30392" cy="16387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630392" cy="1638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04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05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06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07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08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09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31810807200010039110</w:t>
            </w:r>
          </w:p>
          <w:p w14:paraId="0A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0B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 xml:space="preserve">проставление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апостиля</w:t>
            </w:r>
          </w:p>
          <w:p w14:paraId="0C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0D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0E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10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11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12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61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13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14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15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16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17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18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19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1A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1B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31810807200010039110</w:t>
            </w:r>
          </w:p>
          <w:p w14:paraId="1C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1D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 xml:space="preserve">проставление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апостиля</w:t>
            </w:r>
          </w:p>
          <w:p w14:paraId="1E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1F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2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1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2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23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24000000"/>
    <w:p w14:paraId="25000000"/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838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26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27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28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30392" cy="163872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1630392" cy="1638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9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2A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2B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2C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2D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2E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2F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31810807200010039110</w:t>
            </w:r>
          </w:p>
          <w:p w14:paraId="30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31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 xml:space="preserve">проставление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апостиля</w:t>
            </w:r>
          </w:p>
          <w:p w14:paraId="32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33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34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5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6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37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53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38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39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3A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  <w:p w14:paraId="3B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3C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3D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3E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3F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40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41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31810807200010039110</w:t>
            </w:r>
          </w:p>
          <w:p w14:paraId="42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43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 xml:space="preserve">проставление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апостиля</w:t>
            </w:r>
          </w:p>
          <w:p w14:paraId="44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45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46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7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8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49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  <w:bookmarkStart w:id="1" w:name="_GoBack"/>
            <w:bookmarkEnd w:id="1"/>
          </w:p>
        </w:tc>
      </w:tr>
    </w:tbl>
    <w:p w14:paraId="4A000000"/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Table Paragraph"/>
    <w:basedOn w:val="Style_3"/>
    <w:link w:val="Style_2_ch"/>
  </w:style>
  <w:style w:styleId="Style_2_ch" w:type="character">
    <w:name w:val="Table Paragraph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2025-02-03T11:19:16Z</dcterms:modified>
</cp:coreProperties>
</file>